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5E04" w:rsidRDefault="001A5E04" w:rsidP="00317E08">
      <w:pPr>
        <w:jc w:val="center"/>
        <w:rPr>
          <w:rFonts w:ascii="Arial" w:hAnsi="Arial" w:cs="Arial"/>
          <w:b/>
          <w:sz w:val="24"/>
          <w:szCs w:val="24"/>
          <w:u w:val="single"/>
        </w:rPr>
      </w:pPr>
    </w:p>
    <w:p w:rsidR="00317E08" w:rsidRPr="00317E08" w:rsidRDefault="00317E08" w:rsidP="00317E08">
      <w:pPr>
        <w:jc w:val="center"/>
        <w:rPr>
          <w:rFonts w:ascii="Arial" w:hAnsi="Arial" w:cs="Arial"/>
          <w:b/>
          <w:sz w:val="24"/>
          <w:szCs w:val="24"/>
          <w:u w:val="single"/>
        </w:rPr>
      </w:pPr>
      <w:r w:rsidRPr="00317E08">
        <w:rPr>
          <w:rFonts w:ascii="Arial" w:hAnsi="Arial" w:cs="Arial"/>
          <w:b/>
          <w:sz w:val="24"/>
          <w:szCs w:val="24"/>
          <w:u w:val="single"/>
        </w:rPr>
        <w:t>Fitness to Practise Committee</w:t>
      </w:r>
    </w:p>
    <w:p w:rsidR="00CE0A8A" w:rsidRDefault="00317E08" w:rsidP="00317E08">
      <w:pPr>
        <w:jc w:val="center"/>
        <w:rPr>
          <w:rFonts w:ascii="Arial" w:hAnsi="Arial" w:cs="Arial"/>
          <w:b/>
          <w:sz w:val="24"/>
          <w:szCs w:val="24"/>
          <w:u w:val="single"/>
        </w:rPr>
      </w:pPr>
      <w:r w:rsidRPr="00317E08">
        <w:rPr>
          <w:rFonts w:ascii="Arial" w:hAnsi="Arial" w:cs="Arial"/>
          <w:b/>
          <w:sz w:val="24"/>
          <w:szCs w:val="24"/>
          <w:u w:val="single"/>
        </w:rPr>
        <w:t>Hearings Listing Protocol</w:t>
      </w:r>
    </w:p>
    <w:p w:rsidR="0035010C" w:rsidRDefault="0035010C" w:rsidP="00317E08">
      <w:pPr>
        <w:jc w:val="center"/>
        <w:rPr>
          <w:rFonts w:ascii="Arial" w:hAnsi="Arial" w:cs="Arial"/>
          <w:b/>
          <w:sz w:val="24"/>
          <w:szCs w:val="24"/>
          <w:u w:val="single"/>
        </w:rPr>
      </w:pPr>
    </w:p>
    <w:p w:rsidR="0035010C" w:rsidRDefault="009570DF" w:rsidP="00317E08">
      <w:pPr>
        <w:rPr>
          <w:rFonts w:ascii="Arial" w:hAnsi="Arial" w:cs="Arial"/>
          <w:sz w:val="24"/>
          <w:szCs w:val="24"/>
        </w:rPr>
      </w:pPr>
      <w:r w:rsidRPr="009570DF">
        <w:rPr>
          <w:rFonts w:ascii="Arial" w:hAnsi="Arial" w:cs="Arial"/>
          <w:sz w:val="24"/>
          <w:szCs w:val="24"/>
        </w:rPr>
        <w:t xml:space="preserve">This protocol will come into effect from </w:t>
      </w:r>
      <w:r w:rsidR="0035010C">
        <w:rPr>
          <w:rFonts w:ascii="Arial" w:hAnsi="Arial" w:cs="Arial"/>
          <w:sz w:val="24"/>
          <w:szCs w:val="24"/>
        </w:rPr>
        <w:t xml:space="preserve">XX </w:t>
      </w:r>
      <w:r w:rsidR="00B45161">
        <w:rPr>
          <w:rFonts w:ascii="Arial" w:hAnsi="Arial" w:cs="Arial"/>
          <w:sz w:val="24"/>
          <w:szCs w:val="24"/>
        </w:rPr>
        <w:t>November</w:t>
      </w:r>
      <w:r w:rsidR="0035010C">
        <w:rPr>
          <w:rFonts w:ascii="Arial" w:hAnsi="Arial" w:cs="Arial"/>
          <w:sz w:val="24"/>
          <w:szCs w:val="24"/>
        </w:rPr>
        <w:t xml:space="preserve"> 2019</w:t>
      </w:r>
    </w:p>
    <w:p w:rsidR="00317E08" w:rsidRPr="004211EB" w:rsidRDefault="00317E08" w:rsidP="00317E08">
      <w:pPr>
        <w:rPr>
          <w:rFonts w:ascii="Arial" w:hAnsi="Arial" w:cs="Arial"/>
          <w:b/>
          <w:sz w:val="24"/>
          <w:szCs w:val="24"/>
        </w:rPr>
      </w:pPr>
      <w:r w:rsidRPr="004211EB">
        <w:rPr>
          <w:rFonts w:ascii="Arial" w:hAnsi="Arial" w:cs="Arial"/>
          <w:b/>
          <w:sz w:val="24"/>
          <w:szCs w:val="24"/>
        </w:rPr>
        <w:t>Principles</w:t>
      </w:r>
    </w:p>
    <w:p w:rsidR="00317E08" w:rsidRPr="004211EB" w:rsidRDefault="00317E08" w:rsidP="00C21242">
      <w:pPr>
        <w:jc w:val="both"/>
        <w:rPr>
          <w:rFonts w:ascii="Arial" w:hAnsi="Arial" w:cs="Arial"/>
          <w:sz w:val="24"/>
          <w:szCs w:val="24"/>
        </w:rPr>
      </w:pPr>
      <w:r w:rsidRPr="004211EB">
        <w:rPr>
          <w:rFonts w:ascii="Arial" w:hAnsi="Arial" w:cs="Arial"/>
          <w:sz w:val="24"/>
          <w:szCs w:val="24"/>
        </w:rPr>
        <w:t>When listing cases for hearing</w:t>
      </w:r>
      <w:r w:rsidR="00821A50">
        <w:rPr>
          <w:rFonts w:ascii="Arial" w:hAnsi="Arial" w:cs="Arial"/>
          <w:sz w:val="24"/>
          <w:szCs w:val="24"/>
        </w:rPr>
        <w:t>s</w:t>
      </w:r>
      <w:r w:rsidRPr="004211EB">
        <w:rPr>
          <w:rFonts w:ascii="Arial" w:hAnsi="Arial" w:cs="Arial"/>
          <w:sz w:val="24"/>
          <w:szCs w:val="24"/>
        </w:rPr>
        <w:t xml:space="preserve"> before the Fitness to Practise Committee (FTPC), the GOC will place at the forefront of its process its over-arching objective as set out in </w:t>
      </w:r>
      <w:r w:rsidR="00B67146" w:rsidRPr="004211EB">
        <w:rPr>
          <w:rFonts w:ascii="Arial" w:hAnsi="Arial" w:cs="Arial"/>
          <w:sz w:val="24"/>
          <w:szCs w:val="24"/>
        </w:rPr>
        <w:t>the</w:t>
      </w:r>
      <w:r w:rsidR="00B67146">
        <w:rPr>
          <w:rFonts w:ascii="Arial" w:hAnsi="Arial" w:cs="Arial"/>
          <w:sz w:val="24"/>
          <w:szCs w:val="24"/>
        </w:rPr>
        <w:t xml:space="preserve"> Opticians Act 1989 (as amended) </w:t>
      </w:r>
      <w:r w:rsidRPr="004211EB">
        <w:rPr>
          <w:rFonts w:ascii="Arial" w:hAnsi="Arial" w:cs="Arial"/>
          <w:sz w:val="24"/>
          <w:szCs w:val="24"/>
        </w:rPr>
        <w:t xml:space="preserve">, namely the protection of the public. </w:t>
      </w:r>
    </w:p>
    <w:p w:rsidR="00D248B3" w:rsidRDefault="00317E08" w:rsidP="00C21242">
      <w:pPr>
        <w:jc w:val="both"/>
        <w:rPr>
          <w:rFonts w:ascii="Arial" w:hAnsi="Arial" w:cs="Arial"/>
          <w:sz w:val="24"/>
          <w:szCs w:val="24"/>
        </w:rPr>
      </w:pPr>
      <w:r w:rsidRPr="004211EB">
        <w:rPr>
          <w:rFonts w:ascii="Arial" w:hAnsi="Arial" w:cs="Arial"/>
          <w:sz w:val="24"/>
          <w:szCs w:val="24"/>
        </w:rPr>
        <w:t xml:space="preserve">In seeking to meet its over-arching objective, the GOC is committed to the management of cases through to final FTPC decision as efficiently as possible. </w:t>
      </w:r>
    </w:p>
    <w:p w:rsidR="00317E08" w:rsidRDefault="00317E08" w:rsidP="00C21242">
      <w:pPr>
        <w:jc w:val="both"/>
        <w:rPr>
          <w:rFonts w:ascii="Arial" w:hAnsi="Arial" w:cs="Arial"/>
          <w:sz w:val="24"/>
          <w:szCs w:val="24"/>
        </w:rPr>
      </w:pPr>
      <w:r w:rsidRPr="004211EB">
        <w:rPr>
          <w:rFonts w:ascii="Arial" w:hAnsi="Arial" w:cs="Arial"/>
          <w:sz w:val="24"/>
          <w:szCs w:val="24"/>
        </w:rPr>
        <w:t xml:space="preserve">The GOC will apply the following principles when listing cases: </w:t>
      </w:r>
    </w:p>
    <w:p w:rsidR="001A5E04" w:rsidRDefault="001A5E04" w:rsidP="00317E08">
      <w:pPr>
        <w:rPr>
          <w:rFonts w:ascii="Arial" w:hAnsi="Arial" w:cs="Arial"/>
          <w:b/>
          <w:sz w:val="24"/>
          <w:szCs w:val="24"/>
        </w:rPr>
      </w:pPr>
    </w:p>
    <w:p w:rsidR="00821A50" w:rsidRPr="003877C1" w:rsidRDefault="00821A50" w:rsidP="00317E08">
      <w:pPr>
        <w:rPr>
          <w:rFonts w:ascii="Arial" w:hAnsi="Arial" w:cs="Arial"/>
          <w:b/>
          <w:sz w:val="24"/>
          <w:szCs w:val="24"/>
        </w:rPr>
      </w:pPr>
      <w:r w:rsidRPr="003877C1">
        <w:rPr>
          <w:rFonts w:ascii="Arial" w:hAnsi="Arial" w:cs="Arial"/>
          <w:b/>
          <w:sz w:val="24"/>
          <w:szCs w:val="24"/>
        </w:rPr>
        <w:t>Interim Orders</w:t>
      </w:r>
    </w:p>
    <w:p w:rsidR="00FC7AAE" w:rsidRDefault="00A46224" w:rsidP="00C21242">
      <w:pPr>
        <w:pStyle w:val="ListParagraph"/>
        <w:numPr>
          <w:ilvl w:val="0"/>
          <w:numId w:val="6"/>
        </w:numPr>
        <w:jc w:val="both"/>
        <w:rPr>
          <w:rFonts w:ascii="Arial" w:hAnsi="Arial" w:cs="Arial"/>
          <w:sz w:val="24"/>
          <w:szCs w:val="24"/>
        </w:rPr>
      </w:pPr>
      <w:r w:rsidRPr="00D248B3">
        <w:rPr>
          <w:rFonts w:ascii="Arial" w:hAnsi="Arial" w:cs="Arial"/>
          <w:sz w:val="24"/>
          <w:szCs w:val="24"/>
        </w:rPr>
        <w:t xml:space="preserve">For new </w:t>
      </w:r>
      <w:r w:rsidR="00D248B3" w:rsidRPr="00D248B3">
        <w:rPr>
          <w:rFonts w:ascii="Arial" w:hAnsi="Arial" w:cs="Arial"/>
          <w:sz w:val="24"/>
          <w:szCs w:val="24"/>
        </w:rPr>
        <w:t>applications</w:t>
      </w:r>
      <w:r w:rsidRPr="00D248B3">
        <w:rPr>
          <w:rFonts w:ascii="Arial" w:hAnsi="Arial" w:cs="Arial"/>
          <w:sz w:val="24"/>
          <w:szCs w:val="24"/>
        </w:rPr>
        <w:t xml:space="preserve">, a hearing cannot take place </w:t>
      </w:r>
      <w:r w:rsidR="00D248B3" w:rsidRPr="00D248B3">
        <w:rPr>
          <w:rFonts w:ascii="Arial" w:hAnsi="Arial" w:cs="Arial"/>
          <w:sz w:val="24"/>
          <w:szCs w:val="24"/>
        </w:rPr>
        <w:t xml:space="preserve">less than </w:t>
      </w:r>
      <w:r w:rsidRPr="00D248B3">
        <w:rPr>
          <w:rFonts w:ascii="Arial" w:hAnsi="Arial" w:cs="Arial"/>
          <w:sz w:val="24"/>
          <w:szCs w:val="24"/>
        </w:rPr>
        <w:t xml:space="preserve">than </w:t>
      </w:r>
      <w:r w:rsidR="00D248B3" w:rsidRPr="00D248B3">
        <w:rPr>
          <w:rFonts w:ascii="Arial" w:hAnsi="Arial" w:cs="Arial"/>
          <w:sz w:val="24"/>
          <w:szCs w:val="24"/>
        </w:rPr>
        <w:t xml:space="preserve">seven </w:t>
      </w:r>
      <w:r w:rsidRPr="00D248B3">
        <w:rPr>
          <w:rFonts w:ascii="Arial" w:hAnsi="Arial" w:cs="Arial"/>
          <w:sz w:val="24"/>
          <w:szCs w:val="24"/>
        </w:rPr>
        <w:t>days</w:t>
      </w:r>
      <w:r w:rsidR="00B67146" w:rsidRPr="00D248B3">
        <w:rPr>
          <w:rFonts w:ascii="Arial" w:hAnsi="Arial" w:cs="Arial"/>
          <w:sz w:val="24"/>
          <w:szCs w:val="24"/>
        </w:rPr>
        <w:t xml:space="preserve"> after service</w:t>
      </w:r>
      <w:r w:rsidRPr="00D248B3">
        <w:rPr>
          <w:rFonts w:ascii="Arial" w:hAnsi="Arial" w:cs="Arial"/>
          <w:sz w:val="24"/>
          <w:szCs w:val="24"/>
        </w:rPr>
        <w:t xml:space="preserve"> of the notice letter</w:t>
      </w:r>
      <w:r w:rsidR="00B67146" w:rsidRPr="00D248B3">
        <w:rPr>
          <w:rFonts w:ascii="Arial" w:hAnsi="Arial" w:cs="Arial"/>
          <w:sz w:val="24"/>
          <w:szCs w:val="24"/>
        </w:rPr>
        <w:t>,</w:t>
      </w:r>
      <w:r w:rsidRPr="00D248B3">
        <w:rPr>
          <w:rFonts w:ascii="Arial" w:hAnsi="Arial" w:cs="Arial"/>
          <w:sz w:val="24"/>
          <w:szCs w:val="24"/>
        </w:rPr>
        <w:t xml:space="preserve"> unless the registrar is of the view that </w:t>
      </w:r>
      <w:r w:rsidR="00D248B3" w:rsidRPr="00D248B3">
        <w:rPr>
          <w:rFonts w:ascii="Arial" w:hAnsi="Arial" w:cs="Arial"/>
          <w:sz w:val="24"/>
          <w:szCs w:val="24"/>
        </w:rPr>
        <w:t>Ru</w:t>
      </w:r>
      <w:r w:rsidR="00D248B3" w:rsidRPr="00FC7AAE">
        <w:rPr>
          <w:rFonts w:ascii="Arial" w:hAnsi="Arial" w:cs="Arial"/>
          <w:sz w:val="24"/>
          <w:szCs w:val="24"/>
        </w:rPr>
        <w:t>le 18</w:t>
      </w:r>
      <w:r w:rsidR="00FC7AAE">
        <w:rPr>
          <w:rStyle w:val="FootnoteReference"/>
          <w:rFonts w:ascii="Arial" w:hAnsi="Arial" w:cs="Arial"/>
          <w:sz w:val="24"/>
          <w:szCs w:val="24"/>
        </w:rPr>
        <w:footnoteReference w:id="1"/>
      </w:r>
      <w:r w:rsidR="00D248B3" w:rsidRPr="00FC7AAE">
        <w:rPr>
          <w:rFonts w:ascii="Arial" w:hAnsi="Arial" w:cs="Arial"/>
          <w:sz w:val="24"/>
          <w:szCs w:val="24"/>
        </w:rPr>
        <w:t xml:space="preserve"> applies</w:t>
      </w:r>
      <w:r w:rsidR="00FC7AAE">
        <w:rPr>
          <w:rFonts w:ascii="Arial" w:hAnsi="Arial" w:cs="Arial"/>
          <w:sz w:val="24"/>
          <w:szCs w:val="24"/>
        </w:rPr>
        <w:t>,</w:t>
      </w:r>
      <w:r w:rsidR="00D248B3" w:rsidRPr="00FC7AAE">
        <w:rPr>
          <w:rFonts w:ascii="Arial" w:hAnsi="Arial" w:cs="Arial"/>
          <w:sz w:val="24"/>
          <w:szCs w:val="24"/>
        </w:rPr>
        <w:t xml:space="preserve"> and an earlier hearing is necessary in the public interest</w:t>
      </w:r>
      <w:r w:rsidR="00FC7AAE">
        <w:rPr>
          <w:rFonts w:ascii="Arial" w:hAnsi="Arial" w:cs="Arial"/>
          <w:sz w:val="24"/>
          <w:szCs w:val="24"/>
        </w:rPr>
        <w:t>.</w:t>
      </w:r>
    </w:p>
    <w:p w:rsidR="00821A50" w:rsidRPr="00FC7AAE" w:rsidRDefault="00FC7AAE" w:rsidP="00C21242">
      <w:pPr>
        <w:pStyle w:val="ListParagraph"/>
        <w:numPr>
          <w:ilvl w:val="0"/>
          <w:numId w:val="6"/>
        </w:numPr>
        <w:jc w:val="both"/>
        <w:rPr>
          <w:rFonts w:ascii="Arial" w:hAnsi="Arial" w:cs="Arial"/>
          <w:sz w:val="24"/>
          <w:szCs w:val="24"/>
        </w:rPr>
      </w:pPr>
      <w:r>
        <w:rPr>
          <w:rFonts w:ascii="Arial" w:hAnsi="Arial" w:cs="Arial"/>
          <w:sz w:val="24"/>
          <w:szCs w:val="24"/>
        </w:rPr>
        <w:t>New</w:t>
      </w:r>
      <w:r w:rsidR="00A46224" w:rsidRPr="00D248B3">
        <w:rPr>
          <w:rFonts w:ascii="Arial" w:hAnsi="Arial" w:cs="Arial"/>
          <w:sz w:val="24"/>
          <w:szCs w:val="24"/>
        </w:rPr>
        <w:t xml:space="preserve"> applications and interim order review</w:t>
      </w:r>
      <w:r>
        <w:rPr>
          <w:rFonts w:ascii="Arial" w:hAnsi="Arial" w:cs="Arial"/>
          <w:sz w:val="24"/>
          <w:szCs w:val="24"/>
        </w:rPr>
        <w:t>s</w:t>
      </w:r>
      <w:r w:rsidR="007C262A" w:rsidRPr="00777E67">
        <w:rPr>
          <w:rFonts w:ascii="Arial" w:hAnsi="Arial" w:cs="Arial"/>
          <w:sz w:val="24"/>
          <w:szCs w:val="24"/>
        </w:rPr>
        <w:t xml:space="preserve"> </w:t>
      </w:r>
      <w:r w:rsidR="0088497F" w:rsidRPr="00777E67">
        <w:rPr>
          <w:rFonts w:ascii="Arial" w:hAnsi="Arial" w:cs="Arial"/>
          <w:sz w:val="24"/>
          <w:szCs w:val="24"/>
        </w:rPr>
        <w:t>will</w:t>
      </w:r>
      <w:r w:rsidR="00B67146" w:rsidRPr="00FC7AAE">
        <w:rPr>
          <w:rFonts w:ascii="Arial" w:hAnsi="Arial" w:cs="Arial"/>
          <w:sz w:val="24"/>
          <w:szCs w:val="24"/>
        </w:rPr>
        <w:t xml:space="preserve"> usually</w:t>
      </w:r>
      <w:r w:rsidR="0088497F" w:rsidRPr="00FC7AAE">
        <w:rPr>
          <w:rFonts w:ascii="Arial" w:hAnsi="Arial" w:cs="Arial"/>
          <w:sz w:val="24"/>
          <w:szCs w:val="24"/>
        </w:rPr>
        <w:t xml:space="preserve"> be </w:t>
      </w:r>
      <w:r w:rsidR="00B34AC3" w:rsidRPr="00FC7AAE">
        <w:rPr>
          <w:rFonts w:ascii="Arial" w:hAnsi="Arial" w:cs="Arial"/>
          <w:sz w:val="24"/>
          <w:szCs w:val="24"/>
        </w:rPr>
        <w:t>listed as half</w:t>
      </w:r>
      <w:r w:rsidR="00B67146" w:rsidRPr="00FC7AAE">
        <w:rPr>
          <w:rFonts w:ascii="Arial" w:hAnsi="Arial" w:cs="Arial"/>
          <w:sz w:val="24"/>
          <w:szCs w:val="24"/>
        </w:rPr>
        <w:t>-</w:t>
      </w:r>
      <w:r w:rsidR="00B34AC3" w:rsidRPr="00FC7AAE">
        <w:rPr>
          <w:rFonts w:ascii="Arial" w:hAnsi="Arial" w:cs="Arial"/>
          <w:sz w:val="24"/>
          <w:szCs w:val="24"/>
        </w:rPr>
        <w:t>day events</w:t>
      </w:r>
      <w:r w:rsidR="00B67146" w:rsidRPr="00FC7AAE">
        <w:rPr>
          <w:rFonts w:ascii="Arial" w:hAnsi="Arial" w:cs="Arial"/>
          <w:sz w:val="24"/>
          <w:szCs w:val="24"/>
        </w:rPr>
        <w:t>, with the second hearing listed to start ‘not before 11:00</w:t>
      </w:r>
      <w:r>
        <w:rPr>
          <w:rFonts w:ascii="Arial" w:hAnsi="Arial" w:cs="Arial"/>
          <w:sz w:val="24"/>
          <w:szCs w:val="24"/>
        </w:rPr>
        <w:t>am</w:t>
      </w:r>
      <w:r w:rsidR="00B67146" w:rsidRPr="00FC7AAE">
        <w:rPr>
          <w:rFonts w:ascii="Arial" w:hAnsi="Arial" w:cs="Arial"/>
          <w:sz w:val="24"/>
          <w:szCs w:val="24"/>
        </w:rPr>
        <w:t>’</w:t>
      </w:r>
    </w:p>
    <w:p w:rsidR="00B34AC3" w:rsidRDefault="00FC7AAE" w:rsidP="00C21242">
      <w:pPr>
        <w:pStyle w:val="ListParagraph"/>
        <w:numPr>
          <w:ilvl w:val="0"/>
          <w:numId w:val="6"/>
        </w:numPr>
        <w:jc w:val="both"/>
        <w:rPr>
          <w:rFonts w:ascii="Arial" w:hAnsi="Arial" w:cs="Arial"/>
          <w:sz w:val="24"/>
          <w:szCs w:val="24"/>
        </w:rPr>
      </w:pPr>
      <w:r>
        <w:rPr>
          <w:rFonts w:ascii="Arial" w:hAnsi="Arial" w:cs="Arial"/>
          <w:sz w:val="24"/>
          <w:szCs w:val="24"/>
        </w:rPr>
        <w:t>We will generally</w:t>
      </w:r>
      <w:r w:rsidR="00B67146">
        <w:rPr>
          <w:rFonts w:ascii="Arial" w:hAnsi="Arial" w:cs="Arial"/>
          <w:sz w:val="24"/>
          <w:szCs w:val="24"/>
        </w:rPr>
        <w:t xml:space="preserve"> list </w:t>
      </w:r>
      <w:r w:rsidR="00A46224">
        <w:rPr>
          <w:rFonts w:ascii="Arial" w:hAnsi="Arial" w:cs="Arial"/>
          <w:sz w:val="24"/>
          <w:szCs w:val="24"/>
        </w:rPr>
        <w:t>a</w:t>
      </w:r>
      <w:r>
        <w:rPr>
          <w:rFonts w:ascii="Arial" w:hAnsi="Arial" w:cs="Arial"/>
          <w:sz w:val="24"/>
          <w:szCs w:val="24"/>
        </w:rPr>
        <w:t xml:space="preserve"> new</w:t>
      </w:r>
      <w:r w:rsidR="00A46224">
        <w:rPr>
          <w:rFonts w:ascii="Arial" w:hAnsi="Arial" w:cs="Arial"/>
          <w:sz w:val="24"/>
          <w:szCs w:val="24"/>
        </w:rPr>
        <w:t xml:space="preserve"> interim order application </w:t>
      </w:r>
      <w:r>
        <w:rPr>
          <w:rFonts w:ascii="Arial" w:hAnsi="Arial" w:cs="Arial"/>
          <w:sz w:val="24"/>
          <w:szCs w:val="24"/>
        </w:rPr>
        <w:t xml:space="preserve">followed by an </w:t>
      </w:r>
      <w:r w:rsidR="0088497F">
        <w:rPr>
          <w:rFonts w:ascii="Arial" w:hAnsi="Arial" w:cs="Arial"/>
          <w:sz w:val="24"/>
          <w:szCs w:val="24"/>
        </w:rPr>
        <w:t xml:space="preserve">interim order </w:t>
      </w:r>
      <w:r>
        <w:rPr>
          <w:rFonts w:ascii="Arial" w:hAnsi="Arial" w:cs="Arial"/>
          <w:sz w:val="24"/>
          <w:szCs w:val="24"/>
        </w:rPr>
        <w:t>review.</w:t>
      </w:r>
      <w:r w:rsidR="00B67146">
        <w:rPr>
          <w:rFonts w:ascii="Arial" w:hAnsi="Arial" w:cs="Arial"/>
          <w:sz w:val="24"/>
          <w:szCs w:val="24"/>
        </w:rPr>
        <w:t xml:space="preserve">  H</w:t>
      </w:r>
      <w:r w:rsidR="00C709F3">
        <w:rPr>
          <w:rFonts w:ascii="Arial" w:hAnsi="Arial" w:cs="Arial"/>
          <w:sz w:val="24"/>
          <w:szCs w:val="24"/>
        </w:rPr>
        <w:t>owever</w:t>
      </w:r>
      <w:r w:rsidR="00B67146">
        <w:rPr>
          <w:rFonts w:ascii="Arial" w:hAnsi="Arial" w:cs="Arial"/>
          <w:sz w:val="24"/>
          <w:szCs w:val="24"/>
        </w:rPr>
        <w:t xml:space="preserve">, where the GOC considers that </w:t>
      </w:r>
      <w:r>
        <w:rPr>
          <w:rFonts w:ascii="Arial" w:hAnsi="Arial" w:cs="Arial"/>
          <w:sz w:val="24"/>
          <w:szCs w:val="24"/>
        </w:rPr>
        <w:t xml:space="preserve">there is a strong </w:t>
      </w:r>
      <w:r w:rsidR="00B67146">
        <w:rPr>
          <w:rFonts w:ascii="Arial" w:hAnsi="Arial" w:cs="Arial"/>
          <w:sz w:val="24"/>
          <w:szCs w:val="24"/>
        </w:rPr>
        <w:t>public protection</w:t>
      </w:r>
      <w:r>
        <w:rPr>
          <w:rFonts w:ascii="Arial" w:hAnsi="Arial" w:cs="Arial"/>
          <w:sz w:val="24"/>
          <w:szCs w:val="24"/>
        </w:rPr>
        <w:t xml:space="preserve"> concern</w:t>
      </w:r>
      <w:r w:rsidR="00B67146">
        <w:rPr>
          <w:rFonts w:ascii="Arial" w:hAnsi="Arial" w:cs="Arial"/>
          <w:sz w:val="24"/>
          <w:szCs w:val="24"/>
        </w:rPr>
        <w:t>, or</w:t>
      </w:r>
      <w:r>
        <w:rPr>
          <w:rFonts w:ascii="Arial" w:hAnsi="Arial" w:cs="Arial"/>
          <w:sz w:val="24"/>
          <w:szCs w:val="24"/>
        </w:rPr>
        <w:t xml:space="preserve"> it is in the public interest to do so, we may</w:t>
      </w:r>
      <w:r w:rsidR="00B67146">
        <w:rPr>
          <w:rFonts w:ascii="Arial" w:hAnsi="Arial" w:cs="Arial"/>
          <w:sz w:val="24"/>
          <w:szCs w:val="24"/>
        </w:rPr>
        <w:t xml:space="preserve"> list</w:t>
      </w:r>
      <w:r w:rsidR="00C709F3">
        <w:rPr>
          <w:rFonts w:ascii="Arial" w:hAnsi="Arial" w:cs="Arial"/>
          <w:sz w:val="24"/>
          <w:szCs w:val="24"/>
        </w:rPr>
        <w:t xml:space="preserve"> </w:t>
      </w:r>
      <w:r w:rsidR="00B67146">
        <w:rPr>
          <w:rFonts w:ascii="Arial" w:hAnsi="Arial" w:cs="Arial"/>
          <w:sz w:val="24"/>
          <w:szCs w:val="24"/>
        </w:rPr>
        <w:t xml:space="preserve">two </w:t>
      </w:r>
      <w:r w:rsidR="00C709F3">
        <w:rPr>
          <w:rFonts w:ascii="Arial" w:hAnsi="Arial" w:cs="Arial"/>
          <w:sz w:val="24"/>
          <w:szCs w:val="24"/>
        </w:rPr>
        <w:t>interim order applications in a day</w:t>
      </w:r>
      <w:r w:rsidR="00B67146">
        <w:rPr>
          <w:rFonts w:ascii="Arial" w:hAnsi="Arial" w:cs="Arial"/>
          <w:sz w:val="24"/>
          <w:szCs w:val="24"/>
        </w:rPr>
        <w:t>, before the same Committee.</w:t>
      </w:r>
    </w:p>
    <w:p w:rsidR="001A5E04" w:rsidRDefault="001A5E04" w:rsidP="00317E08">
      <w:pPr>
        <w:rPr>
          <w:rFonts w:ascii="Arial" w:hAnsi="Arial" w:cs="Arial"/>
          <w:b/>
          <w:sz w:val="24"/>
          <w:szCs w:val="24"/>
        </w:rPr>
      </w:pPr>
    </w:p>
    <w:p w:rsidR="00821A50" w:rsidRPr="004211EB" w:rsidRDefault="00821A50" w:rsidP="00317E08">
      <w:pPr>
        <w:rPr>
          <w:rFonts w:ascii="Arial" w:hAnsi="Arial" w:cs="Arial"/>
          <w:sz w:val="24"/>
          <w:szCs w:val="24"/>
        </w:rPr>
      </w:pPr>
      <w:r>
        <w:rPr>
          <w:rFonts w:ascii="Arial" w:hAnsi="Arial" w:cs="Arial"/>
          <w:b/>
          <w:sz w:val="24"/>
          <w:szCs w:val="24"/>
        </w:rPr>
        <w:t>Substantive Hearings</w:t>
      </w:r>
    </w:p>
    <w:p w:rsidR="00C755FC" w:rsidRDefault="00317E08" w:rsidP="00C21242">
      <w:pPr>
        <w:pStyle w:val="ListParagraph"/>
        <w:numPr>
          <w:ilvl w:val="0"/>
          <w:numId w:val="2"/>
        </w:numPr>
        <w:jc w:val="both"/>
        <w:rPr>
          <w:rFonts w:ascii="Arial" w:hAnsi="Arial" w:cs="Arial"/>
          <w:sz w:val="24"/>
          <w:szCs w:val="24"/>
        </w:rPr>
      </w:pPr>
      <w:r w:rsidRPr="00C755FC">
        <w:rPr>
          <w:rFonts w:ascii="Arial" w:hAnsi="Arial" w:cs="Arial"/>
          <w:sz w:val="24"/>
          <w:szCs w:val="24"/>
        </w:rPr>
        <w:t xml:space="preserve">The availability of witnesses, particularly those </w:t>
      </w:r>
      <w:r w:rsidR="00FC7AAE">
        <w:rPr>
          <w:rFonts w:ascii="Arial" w:hAnsi="Arial" w:cs="Arial"/>
          <w:sz w:val="24"/>
          <w:szCs w:val="24"/>
        </w:rPr>
        <w:t>falling under</w:t>
      </w:r>
      <w:r w:rsidRPr="00C755FC">
        <w:rPr>
          <w:rFonts w:ascii="Arial" w:hAnsi="Arial" w:cs="Arial"/>
          <w:sz w:val="24"/>
          <w:szCs w:val="24"/>
        </w:rPr>
        <w:t xml:space="preserve"> Rule 41</w:t>
      </w:r>
      <w:r w:rsidR="00FC7AAE">
        <w:rPr>
          <w:rFonts w:ascii="Arial" w:hAnsi="Arial" w:cs="Arial"/>
          <w:sz w:val="24"/>
          <w:szCs w:val="24"/>
        </w:rPr>
        <w:t>(1)</w:t>
      </w:r>
      <w:r w:rsidR="00FC7AAE">
        <w:rPr>
          <w:rStyle w:val="FootnoteReference"/>
          <w:rFonts w:ascii="Arial" w:hAnsi="Arial" w:cs="Arial"/>
          <w:sz w:val="24"/>
          <w:szCs w:val="24"/>
        </w:rPr>
        <w:footnoteReference w:id="2"/>
      </w:r>
      <w:r w:rsidRPr="00C755FC">
        <w:rPr>
          <w:rFonts w:ascii="Arial" w:hAnsi="Arial" w:cs="Arial"/>
          <w:sz w:val="24"/>
          <w:szCs w:val="24"/>
        </w:rPr>
        <w:t>, will be the primary consideration when fixing a hearing date.</w:t>
      </w:r>
    </w:p>
    <w:p w:rsidR="00C755FC" w:rsidRDefault="00FC7AAE" w:rsidP="00C21242">
      <w:pPr>
        <w:pStyle w:val="ListParagraph"/>
        <w:numPr>
          <w:ilvl w:val="0"/>
          <w:numId w:val="2"/>
        </w:numPr>
        <w:jc w:val="both"/>
        <w:rPr>
          <w:rFonts w:ascii="Arial" w:hAnsi="Arial" w:cs="Arial"/>
          <w:sz w:val="24"/>
          <w:szCs w:val="24"/>
        </w:rPr>
      </w:pPr>
      <w:r>
        <w:rPr>
          <w:rFonts w:ascii="Arial" w:hAnsi="Arial" w:cs="Arial"/>
          <w:sz w:val="24"/>
          <w:szCs w:val="24"/>
        </w:rPr>
        <w:t>The</w:t>
      </w:r>
      <w:r w:rsidR="00317E08" w:rsidRPr="00C755FC">
        <w:rPr>
          <w:rFonts w:ascii="Arial" w:hAnsi="Arial" w:cs="Arial"/>
          <w:sz w:val="24"/>
          <w:szCs w:val="24"/>
        </w:rPr>
        <w:t xml:space="preserve"> GOC </w:t>
      </w:r>
      <w:r>
        <w:rPr>
          <w:rFonts w:ascii="Arial" w:hAnsi="Arial" w:cs="Arial"/>
          <w:sz w:val="24"/>
          <w:szCs w:val="24"/>
        </w:rPr>
        <w:t>may</w:t>
      </w:r>
      <w:r w:rsidR="00317E08" w:rsidRPr="00C755FC">
        <w:rPr>
          <w:rFonts w:ascii="Arial" w:hAnsi="Arial" w:cs="Arial"/>
          <w:sz w:val="24"/>
          <w:szCs w:val="24"/>
        </w:rPr>
        <w:t xml:space="preserve"> run parallel hearings (more than one hearing taking place simultaneously) </w:t>
      </w:r>
      <w:r w:rsidRPr="00C755FC">
        <w:rPr>
          <w:rFonts w:ascii="Arial" w:hAnsi="Arial" w:cs="Arial"/>
          <w:sz w:val="24"/>
          <w:szCs w:val="24"/>
        </w:rPr>
        <w:t>to</w:t>
      </w:r>
      <w:r w:rsidR="00317E08" w:rsidRPr="00C755FC">
        <w:rPr>
          <w:rFonts w:ascii="Arial" w:hAnsi="Arial" w:cs="Arial"/>
          <w:sz w:val="24"/>
          <w:szCs w:val="24"/>
        </w:rPr>
        <w:t xml:space="preserve"> meet its over-arching objective. </w:t>
      </w:r>
    </w:p>
    <w:p w:rsidR="00317E08" w:rsidRPr="00C755FC" w:rsidRDefault="00317E08" w:rsidP="00C21242">
      <w:pPr>
        <w:pStyle w:val="ListParagraph"/>
        <w:numPr>
          <w:ilvl w:val="0"/>
          <w:numId w:val="2"/>
        </w:numPr>
        <w:jc w:val="both"/>
        <w:rPr>
          <w:rFonts w:ascii="Arial" w:hAnsi="Arial" w:cs="Arial"/>
          <w:sz w:val="24"/>
          <w:szCs w:val="24"/>
        </w:rPr>
      </w:pPr>
      <w:r w:rsidRPr="00C755FC">
        <w:rPr>
          <w:rFonts w:ascii="Arial" w:hAnsi="Arial" w:cs="Arial"/>
          <w:sz w:val="24"/>
          <w:szCs w:val="24"/>
        </w:rPr>
        <w:t xml:space="preserve">Availability of first-choice case presenters will be taken into consideration whenever </w:t>
      </w:r>
      <w:r w:rsidR="00FC7AAE" w:rsidRPr="00C755FC">
        <w:rPr>
          <w:rFonts w:ascii="Arial" w:hAnsi="Arial" w:cs="Arial"/>
          <w:sz w:val="24"/>
          <w:szCs w:val="24"/>
        </w:rPr>
        <w:t>possible,</w:t>
      </w:r>
      <w:r w:rsidRPr="00C755FC">
        <w:rPr>
          <w:rFonts w:ascii="Arial" w:hAnsi="Arial" w:cs="Arial"/>
          <w:sz w:val="24"/>
          <w:szCs w:val="24"/>
        </w:rPr>
        <w:t xml:space="preserve"> but the </w:t>
      </w:r>
      <w:r w:rsidR="00FC7AAE" w:rsidRPr="00C755FC">
        <w:rPr>
          <w:rFonts w:ascii="Arial" w:hAnsi="Arial" w:cs="Arial"/>
          <w:sz w:val="24"/>
          <w:szCs w:val="24"/>
        </w:rPr>
        <w:t>over-arching objective</w:t>
      </w:r>
      <w:r w:rsidR="00FC7AAE">
        <w:rPr>
          <w:rFonts w:ascii="Arial" w:hAnsi="Arial" w:cs="Arial"/>
          <w:sz w:val="24"/>
          <w:szCs w:val="24"/>
        </w:rPr>
        <w:t xml:space="preserve"> and</w:t>
      </w:r>
      <w:r w:rsidR="00FC7AAE" w:rsidRPr="00C755FC">
        <w:rPr>
          <w:rFonts w:ascii="Arial" w:hAnsi="Arial" w:cs="Arial"/>
          <w:sz w:val="24"/>
          <w:szCs w:val="24"/>
        </w:rPr>
        <w:t xml:space="preserve"> </w:t>
      </w:r>
      <w:r w:rsidRPr="00C755FC">
        <w:rPr>
          <w:rFonts w:ascii="Arial" w:hAnsi="Arial" w:cs="Arial"/>
          <w:sz w:val="24"/>
          <w:szCs w:val="24"/>
        </w:rPr>
        <w:t>timely progression of cases and will take precedence.</w:t>
      </w:r>
    </w:p>
    <w:p w:rsidR="001A5E04" w:rsidRDefault="001A5E04" w:rsidP="00317E08">
      <w:pPr>
        <w:rPr>
          <w:rFonts w:ascii="Arial" w:hAnsi="Arial" w:cs="Arial"/>
          <w:b/>
          <w:sz w:val="24"/>
          <w:szCs w:val="24"/>
        </w:rPr>
      </w:pPr>
    </w:p>
    <w:p w:rsidR="00317E08" w:rsidRPr="00C755FC" w:rsidRDefault="00317E08" w:rsidP="00317E08">
      <w:pPr>
        <w:rPr>
          <w:rFonts w:ascii="Arial" w:hAnsi="Arial" w:cs="Arial"/>
          <w:b/>
          <w:sz w:val="24"/>
          <w:szCs w:val="24"/>
        </w:rPr>
      </w:pPr>
      <w:r w:rsidRPr="00C755FC">
        <w:rPr>
          <w:rFonts w:ascii="Arial" w:hAnsi="Arial" w:cs="Arial"/>
          <w:b/>
          <w:sz w:val="24"/>
          <w:szCs w:val="24"/>
        </w:rPr>
        <w:lastRenderedPageBreak/>
        <w:t xml:space="preserve">Joint Responsibilities </w:t>
      </w:r>
    </w:p>
    <w:p w:rsidR="00317E08" w:rsidRPr="004211EB" w:rsidRDefault="00317E08" w:rsidP="00C21242">
      <w:pPr>
        <w:jc w:val="both"/>
        <w:rPr>
          <w:rFonts w:ascii="Arial" w:hAnsi="Arial" w:cs="Arial"/>
          <w:sz w:val="24"/>
          <w:szCs w:val="24"/>
        </w:rPr>
      </w:pPr>
      <w:r w:rsidRPr="004211EB">
        <w:rPr>
          <w:rFonts w:ascii="Arial" w:hAnsi="Arial" w:cs="Arial"/>
          <w:sz w:val="24"/>
          <w:szCs w:val="24"/>
        </w:rPr>
        <w:t xml:space="preserve">It will be the joint responsibility of the parties to: </w:t>
      </w:r>
    </w:p>
    <w:p w:rsidR="0001430A" w:rsidRDefault="0001430A" w:rsidP="00C21242">
      <w:pPr>
        <w:pStyle w:val="ListParagraph"/>
        <w:numPr>
          <w:ilvl w:val="0"/>
          <w:numId w:val="3"/>
        </w:numPr>
        <w:jc w:val="both"/>
        <w:rPr>
          <w:rFonts w:ascii="Arial" w:hAnsi="Arial" w:cs="Arial"/>
          <w:sz w:val="24"/>
          <w:szCs w:val="24"/>
        </w:rPr>
      </w:pPr>
      <w:r>
        <w:rPr>
          <w:rFonts w:ascii="Arial" w:hAnsi="Arial" w:cs="Arial"/>
          <w:sz w:val="24"/>
          <w:szCs w:val="24"/>
        </w:rPr>
        <w:t xml:space="preserve">Comply with the time limits set out in the Standard Procedural Directions Table or provide early and proactive communication with the opposing party if this is not able to be achieved. </w:t>
      </w:r>
    </w:p>
    <w:p w:rsidR="0001430A" w:rsidRDefault="0001430A" w:rsidP="00C21242">
      <w:pPr>
        <w:pStyle w:val="ListParagraph"/>
        <w:numPr>
          <w:ilvl w:val="0"/>
          <w:numId w:val="3"/>
        </w:numPr>
        <w:jc w:val="both"/>
        <w:rPr>
          <w:rFonts w:ascii="Arial" w:hAnsi="Arial" w:cs="Arial"/>
          <w:sz w:val="24"/>
          <w:szCs w:val="24"/>
        </w:rPr>
      </w:pPr>
      <w:r w:rsidRPr="00DA656C">
        <w:rPr>
          <w:rFonts w:ascii="Arial" w:hAnsi="Arial" w:cs="Arial"/>
          <w:sz w:val="24"/>
          <w:szCs w:val="24"/>
        </w:rPr>
        <w:t xml:space="preserve">Ensure the early identification of </w:t>
      </w:r>
      <w:r>
        <w:rPr>
          <w:rFonts w:ascii="Arial" w:hAnsi="Arial" w:cs="Arial"/>
          <w:sz w:val="24"/>
          <w:szCs w:val="24"/>
        </w:rPr>
        <w:t>the relevant and key iss</w:t>
      </w:r>
      <w:r w:rsidRPr="00DA656C">
        <w:rPr>
          <w:rFonts w:ascii="Arial" w:hAnsi="Arial" w:cs="Arial"/>
          <w:sz w:val="24"/>
          <w:szCs w:val="24"/>
        </w:rPr>
        <w:t xml:space="preserve">ues in the case; </w:t>
      </w:r>
    </w:p>
    <w:p w:rsidR="0001430A" w:rsidRDefault="0001430A" w:rsidP="00C21242">
      <w:pPr>
        <w:pStyle w:val="ListParagraph"/>
        <w:numPr>
          <w:ilvl w:val="0"/>
          <w:numId w:val="3"/>
        </w:numPr>
        <w:jc w:val="both"/>
        <w:rPr>
          <w:rFonts w:ascii="Arial" w:hAnsi="Arial" w:cs="Arial"/>
          <w:sz w:val="24"/>
          <w:szCs w:val="24"/>
        </w:rPr>
      </w:pPr>
      <w:r w:rsidRPr="0001430A">
        <w:rPr>
          <w:rFonts w:ascii="Arial" w:hAnsi="Arial" w:cs="Arial"/>
          <w:sz w:val="24"/>
          <w:szCs w:val="24"/>
        </w:rPr>
        <w:t>Identify all witnesses, including expert witnesses, and agree in advance of the hearing their availability and/or accessibility needs</w:t>
      </w:r>
      <w:r>
        <w:rPr>
          <w:rFonts w:ascii="Arial" w:hAnsi="Arial" w:cs="Arial"/>
          <w:sz w:val="24"/>
          <w:szCs w:val="24"/>
        </w:rPr>
        <w:t>, providing this information to the Hearing Manager as soon as possible.</w:t>
      </w:r>
    </w:p>
    <w:p w:rsidR="0001430A" w:rsidRDefault="0001430A" w:rsidP="00C21242">
      <w:pPr>
        <w:pStyle w:val="ListParagraph"/>
        <w:numPr>
          <w:ilvl w:val="0"/>
          <w:numId w:val="3"/>
        </w:numPr>
        <w:jc w:val="both"/>
        <w:rPr>
          <w:rFonts w:ascii="Arial" w:hAnsi="Arial" w:cs="Arial"/>
          <w:sz w:val="24"/>
          <w:szCs w:val="24"/>
        </w:rPr>
      </w:pPr>
      <w:r>
        <w:rPr>
          <w:rFonts w:ascii="Arial" w:hAnsi="Arial" w:cs="Arial"/>
          <w:sz w:val="24"/>
          <w:szCs w:val="24"/>
        </w:rPr>
        <w:t>Engage in early and constructive conversations with the relevant parties, to narrow the issues and ensure a prompt and effective start to the hearing</w:t>
      </w:r>
    </w:p>
    <w:p w:rsidR="0001430A" w:rsidRDefault="0001430A" w:rsidP="00C21242">
      <w:pPr>
        <w:pStyle w:val="ListParagraph"/>
        <w:numPr>
          <w:ilvl w:val="0"/>
          <w:numId w:val="3"/>
        </w:numPr>
        <w:jc w:val="both"/>
        <w:rPr>
          <w:rFonts w:ascii="Arial" w:hAnsi="Arial" w:cs="Arial"/>
          <w:sz w:val="24"/>
          <w:szCs w:val="24"/>
        </w:rPr>
      </w:pPr>
      <w:r w:rsidRPr="00DA656C">
        <w:rPr>
          <w:rFonts w:ascii="Arial" w:hAnsi="Arial" w:cs="Arial"/>
          <w:sz w:val="24"/>
          <w:szCs w:val="24"/>
        </w:rPr>
        <w:t>Discourage delay, dealing with as many aspects of the case as possible</w:t>
      </w:r>
      <w:r>
        <w:rPr>
          <w:rFonts w:ascii="Arial" w:hAnsi="Arial" w:cs="Arial"/>
          <w:sz w:val="24"/>
          <w:szCs w:val="24"/>
        </w:rPr>
        <w:t xml:space="preserve"> in advance of the hearing, avoiding unnecessary or wasted hearing.</w:t>
      </w:r>
    </w:p>
    <w:p w:rsidR="0001430A" w:rsidRDefault="0001430A" w:rsidP="00C21242">
      <w:pPr>
        <w:pStyle w:val="ListParagraph"/>
        <w:numPr>
          <w:ilvl w:val="0"/>
          <w:numId w:val="3"/>
        </w:numPr>
        <w:jc w:val="both"/>
        <w:rPr>
          <w:rFonts w:ascii="Arial" w:hAnsi="Arial" w:cs="Arial"/>
          <w:sz w:val="24"/>
          <w:szCs w:val="24"/>
        </w:rPr>
      </w:pPr>
      <w:r>
        <w:rPr>
          <w:rFonts w:ascii="Arial" w:hAnsi="Arial" w:cs="Arial"/>
          <w:sz w:val="24"/>
          <w:szCs w:val="24"/>
        </w:rPr>
        <w:t xml:space="preserve">Utilise the option to request a procedural hearing (in person or on the papers) to set further case management directions. </w:t>
      </w:r>
    </w:p>
    <w:p w:rsidR="00DA656C" w:rsidRDefault="00317E08" w:rsidP="00C21242">
      <w:pPr>
        <w:pStyle w:val="ListParagraph"/>
        <w:numPr>
          <w:ilvl w:val="0"/>
          <w:numId w:val="3"/>
        </w:numPr>
        <w:jc w:val="both"/>
        <w:rPr>
          <w:rFonts w:ascii="Arial" w:hAnsi="Arial" w:cs="Arial"/>
          <w:sz w:val="24"/>
          <w:szCs w:val="24"/>
        </w:rPr>
      </w:pPr>
      <w:r w:rsidRPr="00DA656C">
        <w:rPr>
          <w:rFonts w:ascii="Arial" w:hAnsi="Arial" w:cs="Arial"/>
          <w:sz w:val="24"/>
          <w:szCs w:val="24"/>
        </w:rPr>
        <w:t xml:space="preserve">Ensure that evidence, whether </w:t>
      </w:r>
      <w:r w:rsidR="0001430A">
        <w:rPr>
          <w:rFonts w:ascii="Arial" w:hAnsi="Arial" w:cs="Arial"/>
          <w:sz w:val="24"/>
          <w:szCs w:val="24"/>
        </w:rPr>
        <w:t>agreed</w:t>
      </w:r>
      <w:r w:rsidRPr="00DA656C">
        <w:rPr>
          <w:rFonts w:ascii="Arial" w:hAnsi="Arial" w:cs="Arial"/>
          <w:sz w:val="24"/>
          <w:szCs w:val="24"/>
        </w:rPr>
        <w:t xml:space="preserve"> or </w:t>
      </w:r>
      <w:r w:rsidR="0001430A">
        <w:rPr>
          <w:rFonts w:ascii="Arial" w:hAnsi="Arial" w:cs="Arial"/>
          <w:sz w:val="24"/>
          <w:szCs w:val="24"/>
        </w:rPr>
        <w:t>in dispute</w:t>
      </w:r>
      <w:r w:rsidRPr="00DA656C">
        <w:rPr>
          <w:rFonts w:ascii="Arial" w:hAnsi="Arial" w:cs="Arial"/>
          <w:sz w:val="24"/>
          <w:szCs w:val="24"/>
        </w:rPr>
        <w:t xml:space="preserve">, is presented in </w:t>
      </w:r>
      <w:r w:rsidR="0001430A">
        <w:rPr>
          <w:rFonts w:ascii="Arial" w:hAnsi="Arial" w:cs="Arial"/>
          <w:sz w:val="24"/>
          <w:szCs w:val="24"/>
        </w:rPr>
        <w:t>an</w:t>
      </w:r>
      <w:r w:rsidR="0035010C">
        <w:rPr>
          <w:rFonts w:ascii="Arial" w:hAnsi="Arial" w:cs="Arial"/>
          <w:sz w:val="24"/>
          <w:szCs w:val="24"/>
        </w:rPr>
        <w:t xml:space="preserve"> efficient</w:t>
      </w:r>
      <w:r w:rsidRPr="00DA656C">
        <w:rPr>
          <w:rFonts w:ascii="Arial" w:hAnsi="Arial" w:cs="Arial"/>
          <w:sz w:val="24"/>
          <w:szCs w:val="24"/>
        </w:rPr>
        <w:t xml:space="preserve"> and clear way; </w:t>
      </w:r>
    </w:p>
    <w:p w:rsidR="00DA656C" w:rsidRDefault="00317E08" w:rsidP="00C21242">
      <w:pPr>
        <w:pStyle w:val="ListParagraph"/>
        <w:numPr>
          <w:ilvl w:val="0"/>
          <w:numId w:val="3"/>
        </w:numPr>
        <w:jc w:val="both"/>
        <w:rPr>
          <w:rFonts w:ascii="Arial" w:hAnsi="Arial" w:cs="Arial"/>
          <w:sz w:val="24"/>
          <w:szCs w:val="24"/>
        </w:rPr>
      </w:pPr>
      <w:r w:rsidRPr="00DA656C">
        <w:rPr>
          <w:rFonts w:ascii="Arial" w:hAnsi="Arial" w:cs="Arial"/>
          <w:sz w:val="24"/>
          <w:szCs w:val="24"/>
        </w:rPr>
        <w:t>Encourage participants to co-operate in the timely progression of the case</w:t>
      </w:r>
    </w:p>
    <w:p w:rsidR="00317E08" w:rsidRPr="00DA656C" w:rsidRDefault="00317E08" w:rsidP="00C21242">
      <w:pPr>
        <w:pStyle w:val="ListParagraph"/>
        <w:numPr>
          <w:ilvl w:val="0"/>
          <w:numId w:val="3"/>
        </w:numPr>
        <w:jc w:val="both"/>
        <w:rPr>
          <w:rFonts w:ascii="Arial" w:hAnsi="Arial" w:cs="Arial"/>
          <w:sz w:val="24"/>
          <w:szCs w:val="24"/>
        </w:rPr>
      </w:pPr>
      <w:r w:rsidRPr="00DA656C">
        <w:rPr>
          <w:rFonts w:ascii="Arial" w:hAnsi="Arial" w:cs="Arial"/>
          <w:sz w:val="24"/>
          <w:szCs w:val="24"/>
        </w:rPr>
        <w:t>Make effective use of technology</w:t>
      </w:r>
      <w:r w:rsidR="0001430A">
        <w:rPr>
          <w:rFonts w:ascii="Arial" w:hAnsi="Arial" w:cs="Arial"/>
          <w:sz w:val="24"/>
          <w:szCs w:val="24"/>
        </w:rPr>
        <w:t xml:space="preserve"> to support the effective case management of cases</w:t>
      </w:r>
      <w:r w:rsidR="00C21242">
        <w:rPr>
          <w:rFonts w:ascii="Arial" w:hAnsi="Arial" w:cs="Arial"/>
          <w:sz w:val="24"/>
          <w:szCs w:val="24"/>
        </w:rPr>
        <w:t>.</w:t>
      </w:r>
    </w:p>
    <w:p w:rsidR="00317E08" w:rsidRPr="00C755FC" w:rsidRDefault="00E502B9" w:rsidP="00317E08">
      <w:pPr>
        <w:rPr>
          <w:rFonts w:ascii="Arial" w:hAnsi="Arial" w:cs="Arial"/>
          <w:b/>
          <w:sz w:val="24"/>
          <w:szCs w:val="24"/>
        </w:rPr>
      </w:pPr>
      <w:r>
        <w:rPr>
          <w:rFonts w:ascii="Arial" w:hAnsi="Arial" w:cs="Arial"/>
          <w:b/>
          <w:sz w:val="24"/>
          <w:szCs w:val="24"/>
        </w:rPr>
        <w:t>Listing Procedure</w:t>
      </w:r>
    </w:p>
    <w:p w:rsidR="002474F6" w:rsidRDefault="00317E08" w:rsidP="00317E08">
      <w:pPr>
        <w:rPr>
          <w:rFonts w:ascii="Arial" w:hAnsi="Arial" w:cs="Arial"/>
          <w:sz w:val="24"/>
          <w:szCs w:val="24"/>
        </w:rPr>
      </w:pPr>
      <w:r w:rsidRPr="004211EB">
        <w:rPr>
          <w:rFonts w:ascii="Arial" w:hAnsi="Arial" w:cs="Arial"/>
          <w:sz w:val="24"/>
          <w:szCs w:val="24"/>
        </w:rPr>
        <w:t>With effect from the date of publication of this protocol on our website, our listing procedure will be as follows:</w:t>
      </w:r>
    </w:p>
    <w:p w:rsidR="002474F6" w:rsidRDefault="00317E08" w:rsidP="00C21242">
      <w:pPr>
        <w:pStyle w:val="ListParagraph"/>
        <w:numPr>
          <w:ilvl w:val="0"/>
          <w:numId w:val="4"/>
        </w:numPr>
        <w:jc w:val="both"/>
        <w:rPr>
          <w:rFonts w:ascii="Arial" w:hAnsi="Arial" w:cs="Arial"/>
          <w:sz w:val="24"/>
          <w:szCs w:val="24"/>
        </w:rPr>
      </w:pPr>
      <w:r w:rsidRPr="002474F6">
        <w:rPr>
          <w:rFonts w:ascii="Arial" w:hAnsi="Arial" w:cs="Arial"/>
          <w:sz w:val="24"/>
          <w:szCs w:val="24"/>
        </w:rPr>
        <w:t>In accordance with Standard Direction 1</w:t>
      </w:r>
      <w:r w:rsidR="001A5E04">
        <w:rPr>
          <w:rFonts w:ascii="Arial" w:hAnsi="Arial" w:cs="Arial"/>
          <w:sz w:val="24"/>
          <w:szCs w:val="24"/>
        </w:rPr>
        <w:t>,</w:t>
      </w:r>
      <w:r w:rsidRPr="002474F6">
        <w:rPr>
          <w:rFonts w:ascii="Arial" w:hAnsi="Arial" w:cs="Arial"/>
          <w:sz w:val="24"/>
          <w:szCs w:val="24"/>
        </w:rPr>
        <w:t xml:space="preserve"> the GOC will serve its case (the allegations, the GOC’s bundle and a time estimate) on the Hearings Manager and the Registrant. </w:t>
      </w:r>
    </w:p>
    <w:p w:rsidR="00093053" w:rsidRDefault="00317E08" w:rsidP="00C21242">
      <w:pPr>
        <w:pStyle w:val="ListParagraph"/>
        <w:numPr>
          <w:ilvl w:val="0"/>
          <w:numId w:val="4"/>
        </w:numPr>
        <w:jc w:val="both"/>
        <w:rPr>
          <w:rFonts w:ascii="Arial" w:hAnsi="Arial" w:cs="Arial"/>
          <w:sz w:val="24"/>
          <w:szCs w:val="24"/>
        </w:rPr>
      </w:pPr>
      <w:r w:rsidRPr="002474F6">
        <w:rPr>
          <w:rFonts w:ascii="Arial" w:hAnsi="Arial" w:cs="Arial"/>
          <w:sz w:val="24"/>
          <w:szCs w:val="24"/>
        </w:rPr>
        <w:t xml:space="preserve">In accordance with Standard Direction 2, no later than 28 days from the date </w:t>
      </w:r>
      <w:r w:rsidR="0035010C">
        <w:rPr>
          <w:rFonts w:ascii="Arial" w:hAnsi="Arial" w:cs="Arial"/>
          <w:sz w:val="24"/>
          <w:szCs w:val="24"/>
        </w:rPr>
        <w:t>when the bundle was sent to</w:t>
      </w:r>
      <w:r w:rsidRPr="002474F6">
        <w:rPr>
          <w:rFonts w:ascii="Arial" w:hAnsi="Arial" w:cs="Arial"/>
          <w:sz w:val="24"/>
          <w:szCs w:val="24"/>
        </w:rPr>
        <w:t xml:space="preserve"> the </w:t>
      </w:r>
      <w:r w:rsidR="0035010C">
        <w:rPr>
          <w:rFonts w:ascii="Arial" w:hAnsi="Arial" w:cs="Arial"/>
          <w:sz w:val="24"/>
          <w:szCs w:val="24"/>
        </w:rPr>
        <w:t>r</w:t>
      </w:r>
      <w:r w:rsidRPr="002474F6">
        <w:rPr>
          <w:rFonts w:ascii="Arial" w:hAnsi="Arial" w:cs="Arial"/>
          <w:sz w:val="24"/>
          <w:szCs w:val="24"/>
        </w:rPr>
        <w:t>egistrant, the</w:t>
      </w:r>
      <w:r w:rsidR="0035010C">
        <w:rPr>
          <w:rFonts w:ascii="Arial" w:hAnsi="Arial" w:cs="Arial"/>
          <w:sz w:val="24"/>
          <w:szCs w:val="24"/>
        </w:rPr>
        <w:t xml:space="preserve"> r</w:t>
      </w:r>
      <w:r w:rsidRPr="002474F6">
        <w:rPr>
          <w:rFonts w:ascii="Arial" w:hAnsi="Arial" w:cs="Arial"/>
          <w:sz w:val="24"/>
          <w:szCs w:val="24"/>
        </w:rPr>
        <w:t xml:space="preserve">egistrant will serve a time estimate on the GOC’s Presenting Officer. </w:t>
      </w:r>
      <w:r w:rsidR="001A5E04">
        <w:rPr>
          <w:rFonts w:ascii="Arial" w:hAnsi="Arial" w:cs="Arial"/>
          <w:sz w:val="24"/>
          <w:szCs w:val="24"/>
        </w:rPr>
        <w:t xml:space="preserve">This should be received by way of the Hearing Questionnaire, and on receipt will be shared with the </w:t>
      </w:r>
      <w:r w:rsidRPr="002474F6">
        <w:rPr>
          <w:rFonts w:ascii="Arial" w:hAnsi="Arial" w:cs="Arial"/>
          <w:sz w:val="24"/>
          <w:szCs w:val="24"/>
        </w:rPr>
        <w:t xml:space="preserve">Hearings Manager. </w:t>
      </w:r>
    </w:p>
    <w:p w:rsidR="00093053" w:rsidRDefault="00317E08" w:rsidP="00C21242">
      <w:pPr>
        <w:pStyle w:val="ListParagraph"/>
        <w:numPr>
          <w:ilvl w:val="0"/>
          <w:numId w:val="4"/>
        </w:numPr>
        <w:jc w:val="both"/>
        <w:rPr>
          <w:rFonts w:ascii="Arial" w:hAnsi="Arial" w:cs="Arial"/>
          <w:sz w:val="24"/>
          <w:szCs w:val="24"/>
        </w:rPr>
      </w:pPr>
      <w:r w:rsidRPr="00093053">
        <w:rPr>
          <w:rFonts w:ascii="Arial" w:hAnsi="Arial" w:cs="Arial"/>
          <w:sz w:val="24"/>
          <w:szCs w:val="24"/>
        </w:rPr>
        <w:t xml:space="preserve">As soon as possible after receipt of the </w:t>
      </w:r>
      <w:r w:rsidR="001A5E04" w:rsidRPr="00093053">
        <w:rPr>
          <w:rFonts w:ascii="Arial" w:hAnsi="Arial" w:cs="Arial"/>
          <w:sz w:val="24"/>
          <w:szCs w:val="24"/>
        </w:rPr>
        <w:t>r</w:t>
      </w:r>
      <w:r w:rsidRPr="00093053">
        <w:rPr>
          <w:rFonts w:ascii="Arial" w:hAnsi="Arial" w:cs="Arial"/>
          <w:sz w:val="24"/>
          <w:szCs w:val="24"/>
        </w:rPr>
        <w:t>egistrant’s time estimate, or at the expiry of the 28 days allowed for service of the same (whichever is sooner), the Hearings Manager will</w:t>
      </w:r>
      <w:r w:rsidR="00093053" w:rsidRPr="00093053">
        <w:rPr>
          <w:rFonts w:ascii="Arial" w:hAnsi="Arial" w:cs="Arial"/>
          <w:sz w:val="24"/>
          <w:szCs w:val="24"/>
        </w:rPr>
        <w:t xml:space="preserve"> f</w:t>
      </w:r>
      <w:r w:rsidRPr="00093053">
        <w:rPr>
          <w:rFonts w:ascii="Arial" w:hAnsi="Arial" w:cs="Arial"/>
          <w:sz w:val="24"/>
          <w:szCs w:val="24"/>
        </w:rPr>
        <w:t>ix a hearing date and issue formal notifications in accordance with Rule 34(1)</w:t>
      </w:r>
      <w:r w:rsidR="001A5E04">
        <w:rPr>
          <w:rStyle w:val="FootnoteReference"/>
          <w:rFonts w:ascii="Arial" w:hAnsi="Arial" w:cs="Arial"/>
          <w:sz w:val="24"/>
          <w:szCs w:val="24"/>
        </w:rPr>
        <w:footnoteReference w:id="3"/>
      </w:r>
      <w:r w:rsidRPr="00093053">
        <w:rPr>
          <w:rFonts w:ascii="Arial" w:hAnsi="Arial" w:cs="Arial"/>
          <w:sz w:val="24"/>
          <w:szCs w:val="24"/>
        </w:rPr>
        <w:t xml:space="preserve">. </w:t>
      </w:r>
      <w:r w:rsidR="00932D1D">
        <w:rPr>
          <w:rFonts w:ascii="Arial" w:hAnsi="Arial" w:cs="Arial"/>
          <w:sz w:val="24"/>
          <w:szCs w:val="24"/>
        </w:rPr>
        <w:t xml:space="preserve"> </w:t>
      </w:r>
    </w:p>
    <w:p w:rsidR="001A665C" w:rsidRDefault="00932D1D" w:rsidP="001A665C">
      <w:pPr>
        <w:pStyle w:val="ListParagraph"/>
        <w:numPr>
          <w:ilvl w:val="0"/>
          <w:numId w:val="4"/>
        </w:numPr>
        <w:jc w:val="both"/>
        <w:rPr>
          <w:rFonts w:ascii="Arial" w:hAnsi="Arial" w:cs="Arial"/>
          <w:sz w:val="24"/>
          <w:szCs w:val="24"/>
        </w:rPr>
      </w:pPr>
      <w:r w:rsidRPr="00093053">
        <w:rPr>
          <w:rFonts w:ascii="Arial" w:hAnsi="Arial" w:cs="Arial"/>
          <w:sz w:val="24"/>
          <w:szCs w:val="24"/>
        </w:rPr>
        <w:t xml:space="preserve">The hearing date will not be before the expiry of the four-month period permitted by unless the registrant has indicated that an earlier date is preferable and acceptable. </w:t>
      </w:r>
    </w:p>
    <w:p w:rsidR="00932D1D" w:rsidRPr="001A665C" w:rsidRDefault="00932D1D" w:rsidP="001A665C">
      <w:pPr>
        <w:pStyle w:val="ListParagraph"/>
        <w:numPr>
          <w:ilvl w:val="0"/>
          <w:numId w:val="4"/>
        </w:numPr>
        <w:jc w:val="both"/>
        <w:rPr>
          <w:rFonts w:ascii="Arial" w:hAnsi="Arial" w:cs="Arial"/>
          <w:sz w:val="24"/>
          <w:szCs w:val="24"/>
        </w:rPr>
      </w:pPr>
      <w:r w:rsidRPr="001A665C">
        <w:rPr>
          <w:rFonts w:ascii="Arial" w:hAnsi="Arial" w:cs="Arial"/>
          <w:sz w:val="24"/>
          <w:szCs w:val="24"/>
        </w:rPr>
        <w:t xml:space="preserve">The Hearings Manager will not offer possible hearing dates to parties to select from. </w:t>
      </w:r>
    </w:p>
    <w:p w:rsidR="001A665C" w:rsidRPr="001A665C" w:rsidRDefault="00115B05" w:rsidP="00C21242">
      <w:pPr>
        <w:pStyle w:val="ListParagraph"/>
        <w:numPr>
          <w:ilvl w:val="0"/>
          <w:numId w:val="4"/>
        </w:numPr>
        <w:jc w:val="both"/>
        <w:rPr>
          <w:rFonts w:ascii="Arial" w:hAnsi="Arial" w:cs="Arial"/>
          <w:sz w:val="24"/>
          <w:szCs w:val="24"/>
        </w:rPr>
      </w:pPr>
      <w:r w:rsidRPr="001A665C">
        <w:rPr>
          <w:rFonts w:ascii="Arial" w:hAnsi="Arial" w:cs="Arial"/>
          <w:sz w:val="24"/>
          <w:szCs w:val="24"/>
        </w:rPr>
        <w:t xml:space="preserve">The Hearings </w:t>
      </w:r>
      <w:r w:rsidR="00DF06C8">
        <w:rPr>
          <w:rFonts w:ascii="Arial" w:hAnsi="Arial" w:cs="Arial"/>
          <w:sz w:val="24"/>
          <w:szCs w:val="24"/>
        </w:rPr>
        <w:t>team</w:t>
      </w:r>
      <w:r w:rsidRPr="001A665C">
        <w:rPr>
          <w:rFonts w:ascii="Arial" w:hAnsi="Arial" w:cs="Arial"/>
          <w:sz w:val="24"/>
          <w:szCs w:val="24"/>
        </w:rPr>
        <w:t xml:space="preserve"> </w:t>
      </w:r>
      <w:r w:rsidR="001A665C" w:rsidRPr="001A665C">
        <w:rPr>
          <w:rFonts w:ascii="Arial" w:hAnsi="Arial" w:cs="Arial"/>
          <w:sz w:val="24"/>
          <w:szCs w:val="24"/>
        </w:rPr>
        <w:t>will confirm when the telephone conference will be held.</w:t>
      </w:r>
    </w:p>
    <w:p w:rsidR="00115B05" w:rsidRDefault="00932D1D" w:rsidP="00C21242">
      <w:pPr>
        <w:pStyle w:val="ListParagraph"/>
        <w:numPr>
          <w:ilvl w:val="0"/>
          <w:numId w:val="4"/>
        </w:numPr>
        <w:jc w:val="both"/>
        <w:rPr>
          <w:rFonts w:ascii="Arial" w:hAnsi="Arial" w:cs="Arial"/>
          <w:sz w:val="24"/>
          <w:szCs w:val="24"/>
        </w:rPr>
      </w:pPr>
      <w:r>
        <w:rPr>
          <w:rFonts w:ascii="Arial" w:hAnsi="Arial" w:cs="Arial"/>
          <w:sz w:val="24"/>
          <w:szCs w:val="24"/>
        </w:rPr>
        <w:lastRenderedPageBreak/>
        <w:t>The first telephone conference call will take place approximately two months from the date of disclosure.</w:t>
      </w:r>
    </w:p>
    <w:p w:rsidR="00696714" w:rsidRDefault="00932D1D" w:rsidP="00C21242">
      <w:pPr>
        <w:pStyle w:val="ListParagraph"/>
        <w:numPr>
          <w:ilvl w:val="0"/>
          <w:numId w:val="4"/>
        </w:numPr>
        <w:jc w:val="both"/>
        <w:rPr>
          <w:rFonts w:ascii="Arial" w:hAnsi="Arial" w:cs="Arial"/>
          <w:sz w:val="24"/>
          <w:szCs w:val="24"/>
        </w:rPr>
      </w:pPr>
      <w:r>
        <w:rPr>
          <w:rFonts w:ascii="Arial" w:hAnsi="Arial" w:cs="Arial"/>
          <w:sz w:val="24"/>
          <w:szCs w:val="24"/>
        </w:rPr>
        <w:t>The second telephone conference call will take place approximately 4-6 weeks prior to the start date if the hearing.</w:t>
      </w:r>
    </w:p>
    <w:p w:rsidR="00696714" w:rsidRPr="00696714" w:rsidRDefault="00696714" w:rsidP="00C21242">
      <w:pPr>
        <w:pStyle w:val="ListParagraph"/>
        <w:numPr>
          <w:ilvl w:val="0"/>
          <w:numId w:val="4"/>
        </w:numPr>
        <w:jc w:val="both"/>
        <w:rPr>
          <w:rFonts w:ascii="Arial" w:hAnsi="Arial" w:cs="Arial"/>
          <w:sz w:val="24"/>
          <w:szCs w:val="24"/>
        </w:rPr>
      </w:pPr>
      <w:r w:rsidRPr="00696714">
        <w:rPr>
          <w:rFonts w:ascii="Arial" w:hAnsi="Arial" w:cs="Arial"/>
          <w:sz w:val="24"/>
          <w:szCs w:val="24"/>
        </w:rPr>
        <w:t>No later than 10 working days before the hearing is to take place – parties must serve on each other copies of the bundles in which they intend to rely on at the hearing.</w:t>
      </w:r>
    </w:p>
    <w:p w:rsidR="00696714" w:rsidRPr="00696714" w:rsidRDefault="00696714" w:rsidP="00C21242">
      <w:pPr>
        <w:pStyle w:val="ListParagraph"/>
        <w:numPr>
          <w:ilvl w:val="0"/>
          <w:numId w:val="4"/>
        </w:numPr>
        <w:jc w:val="both"/>
        <w:rPr>
          <w:rFonts w:ascii="Arial" w:hAnsi="Arial" w:cs="Arial"/>
          <w:sz w:val="24"/>
          <w:szCs w:val="24"/>
        </w:rPr>
      </w:pPr>
      <w:r w:rsidRPr="00696714">
        <w:rPr>
          <w:rFonts w:ascii="Arial" w:hAnsi="Arial" w:cs="Arial"/>
          <w:sz w:val="24"/>
          <w:szCs w:val="24"/>
        </w:rPr>
        <w:t>No later than 5 working days before the hearing is to take place, parties must serve on the Hearings Manager:</w:t>
      </w:r>
    </w:p>
    <w:p w:rsidR="00696714" w:rsidRPr="00696714" w:rsidRDefault="00696714" w:rsidP="00C21242">
      <w:pPr>
        <w:pStyle w:val="ListParagraph"/>
        <w:numPr>
          <w:ilvl w:val="0"/>
          <w:numId w:val="8"/>
        </w:numPr>
        <w:jc w:val="both"/>
        <w:rPr>
          <w:rFonts w:ascii="Arial" w:hAnsi="Arial" w:cs="Arial"/>
          <w:sz w:val="24"/>
          <w:szCs w:val="24"/>
        </w:rPr>
      </w:pPr>
      <w:r w:rsidRPr="00696714">
        <w:rPr>
          <w:rFonts w:ascii="Arial" w:hAnsi="Arial" w:cs="Arial"/>
          <w:sz w:val="24"/>
          <w:szCs w:val="24"/>
        </w:rPr>
        <w:t xml:space="preserve">Copies of the bundle.  </w:t>
      </w:r>
    </w:p>
    <w:p w:rsidR="001A665C" w:rsidRDefault="00696714" w:rsidP="001A665C">
      <w:pPr>
        <w:pStyle w:val="ListParagraph"/>
        <w:numPr>
          <w:ilvl w:val="0"/>
          <w:numId w:val="4"/>
        </w:numPr>
        <w:jc w:val="both"/>
        <w:rPr>
          <w:rFonts w:ascii="Arial" w:hAnsi="Arial" w:cs="Arial"/>
          <w:sz w:val="24"/>
          <w:szCs w:val="24"/>
        </w:rPr>
      </w:pPr>
      <w:r w:rsidRPr="00696714">
        <w:rPr>
          <w:rFonts w:ascii="Arial" w:hAnsi="Arial" w:cs="Arial"/>
          <w:sz w:val="24"/>
          <w:szCs w:val="24"/>
        </w:rPr>
        <w:t xml:space="preserve">Unless a written notice is served with the bundles, the parties will be deemed to have agreed that the documents provided can be circulated to the Committee in advance of the hearing.  </w:t>
      </w:r>
    </w:p>
    <w:p w:rsidR="00D01428" w:rsidRPr="001A665C" w:rsidRDefault="00D01428" w:rsidP="001A665C">
      <w:pPr>
        <w:pStyle w:val="ListParagraph"/>
        <w:numPr>
          <w:ilvl w:val="0"/>
          <w:numId w:val="4"/>
        </w:numPr>
        <w:jc w:val="both"/>
        <w:rPr>
          <w:rFonts w:ascii="Arial" w:hAnsi="Arial" w:cs="Arial"/>
          <w:sz w:val="24"/>
          <w:szCs w:val="24"/>
        </w:rPr>
      </w:pPr>
      <w:r w:rsidRPr="001A665C">
        <w:rPr>
          <w:rFonts w:ascii="Arial" w:hAnsi="Arial" w:cs="Arial"/>
          <w:sz w:val="24"/>
          <w:szCs w:val="24"/>
        </w:rPr>
        <w:t>Where the bundle has not been agreed between the parties:</w:t>
      </w:r>
    </w:p>
    <w:p w:rsidR="00D01428" w:rsidRPr="00D01428" w:rsidRDefault="00D01428" w:rsidP="00C21242">
      <w:pPr>
        <w:pStyle w:val="ListParagraph"/>
        <w:jc w:val="both"/>
        <w:rPr>
          <w:rFonts w:ascii="Arial" w:hAnsi="Arial" w:cs="Arial"/>
          <w:sz w:val="24"/>
          <w:szCs w:val="24"/>
        </w:rPr>
      </w:pPr>
      <w:r>
        <w:rPr>
          <w:rFonts w:ascii="Arial" w:hAnsi="Arial" w:cs="Arial"/>
          <w:sz w:val="24"/>
          <w:szCs w:val="24"/>
        </w:rPr>
        <w:t xml:space="preserve">- </w:t>
      </w:r>
      <w:r w:rsidRPr="00D01428">
        <w:rPr>
          <w:rFonts w:ascii="Arial" w:hAnsi="Arial" w:cs="Arial"/>
          <w:sz w:val="24"/>
          <w:szCs w:val="24"/>
        </w:rPr>
        <w:t>a statement by each party setting out why the bundle for the hearing has not been agreed.</w:t>
      </w:r>
    </w:p>
    <w:p w:rsidR="00D01428" w:rsidRPr="00D01428" w:rsidRDefault="00D01428" w:rsidP="00C21242">
      <w:pPr>
        <w:pStyle w:val="ListParagraph"/>
        <w:jc w:val="both"/>
        <w:rPr>
          <w:rFonts w:ascii="Arial" w:hAnsi="Arial" w:cs="Arial"/>
          <w:sz w:val="24"/>
          <w:szCs w:val="24"/>
        </w:rPr>
      </w:pPr>
      <w:r>
        <w:rPr>
          <w:rFonts w:ascii="Arial" w:hAnsi="Arial" w:cs="Arial"/>
          <w:sz w:val="24"/>
          <w:szCs w:val="24"/>
        </w:rPr>
        <w:t xml:space="preserve">- </w:t>
      </w:r>
      <w:r w:rsidRPr="00D01428">
        <w:rPr>
          <w:rFonts w:ascii="Arial" w:hAnsi="Arial" w:cs="Arial"/>
          <w:sz w:val="24"/>
          <w:szCs w:val="24"/>
        </w:rPr>
        <w:t>A statement by each party seeking to rely on any disputed material why that party seeks to include it in the bundle</w:t>
      </w:r>
    </w:p>
    <w:p w:rsidR="00D01428" w:rsidRPr="00D01428" w:rsidRDefault="00D01428" w:rsidP="00C21242">
      <w:pPr>
        <w:pStyle w:val="ListParagraph"/>
        <w:jc w:val="both"/>
        <w:rPr>
          <w:rFonts w:ascii="Arial" w:hAnsi="Arial" w:cs="Arial"/>
          <w:sz w:val="24"/>
          <w:szCs w:val="24"/>
        </w:rPr>
      </w:pPr>
      <w:r>
        <w:rPr>
          <w:rFonts w:ascii="Arial" w:hAnsi="Arial" w:cs="Arial"/>
          <w:sz w:val="24"/>
          <w:szCs w:val="24"/>
        </w:rPr>
        <w:t xml:space="preserve">- </w:t>
      </w:r>
      <w:r w:rsidRPr="00D01428">
        <w:rPr>
          <w:rFonts w:ascii="Arial" w:hAnsi="Arial" w:cs="Arial"/>
          <w:sz w:val="24"/>
          <w:szCs w:val="24"/>
        </w:rPr>
        <w:t>the bundles each party intends to rely at the hearing</w:t>
      </w:r>
    </w:p>
    <w:p w:rsidR="00317E08" w:rsidRPr="00C755FC" w:rsidRDefault="00317E08" w:rsidP="00317E08">
      <w:pPr>
        <w:rPr>
          <w:rFonts w:ascii="Arial" w:hAnsi="Arial" w:cs="Arial"/>
          <w:b/>
          <w:sz w:val="24"/>
          <w:szCs w:val="24"/>
        </w:rPr>
      </w:pPr>
      <w:r w:rsidRPr="00C755FC">
        <w:rPr>
          <w:rFonts w:ascii="Arial" w:hAnsi="Arial" w:cs="Arial"/>
          <w:b/>
          <w:sz w:val="24"/>
          <w:szCs w:val="24"/>
        </w:rPr>
        <w:t>Application to Adjourn</w:t>
      </w:r>
    </w:p>
    <w:p w:rsidR="00093053" w:rsidRDefault="00317E08" w:rsidP="00C21242">
      <w:pPr>
        <w:jc w:val="both"/>
        <w:rPr>
          <w:rFonts w:ascii="Arial" w:hAnsi="Arial" w:cs="Arial"/>
          <w:sz w:val="24"/>
          <w:szCs w:val="24"/>
        </w:rPr>
      </w:pPr>
      <w:r w:rsidRPr="004211EB">
        <w:rPr>
          <w:rFonts w:ascii="Arial" w:hAnsi="Arial" w:cs="Arial"/>
          <w:sz w:val="24"/>
          <w:szCs w:val="24"/>
        </w:rPr>
        <w:t xml:space="preserve">If any party is </w:t>
      </w:r>
      <w:r w:rsidR="001A5E04">
        <w:rPr>
          <w:rFonts w:ascii="Arial" w:hAnsi="Arial" w:cs="Arial"/>
          <w:sz w:val="24"/>
          <w:szCs w:val="24"/>
        </w:rPr>
        <w:t>unable to adhere</w:t>
      </w:r>
      <w:r w:rsidRPr="004211EB">
        <w:rPr>
          <w:rFonts w:ascii="Arial" w:hAnsi="Arial" w:cs="Arial"/>
          <w:sz w:val="24"/>
          <w:szCs w:val="24"/>
        </w:rPr>
        <w:t xml:space="preserve"> </w:t>
      </w:r>
      <w:r w:rsidR="001A5E04">
        <w:rPr>
          <w:rFonts w:ascii="Arial" w:hAnsi="Arial" w:cs="Arial"/>
          <w:sz w:val="24"/>
          <w:szCs w:val="24"/>
        </w:rPr>
        <w:t>to</w:t>
      </w:r>
      <w:r w:rsidRPr="004211EB">
        <w:rPr>
          <w:rFonts w:ascii="Arial" w:hAnsi="Arial" w:cs="Arial"/>
          <w:sz w:val="24"/>
          <w:szCs w:val="24"/>
        </w:rPr>
        <w:t xml:space="preserve"> the hearing date fixed by the Hearings Manager, they are directed to the process set out in Rule 35</w:t>
      </w:r>
      <w:r w:rsidR="001A5E04">
        <w:rPr>
          <w:rStyle w:val="FootnoteReference"/>
          <w:rFonts w:ascii="Arial" w:hAnsi="Arial" w:cs="Arial"/>
          <w:sz w:val="24"/>
          <w:szCs w:val="24"/>
        </w:rPr>
        <w:footnoteReference w:id="4"/>
      </w:r>
      <w:r w:rsidRPr="004211EB">
        <w:rPr>
          <w:rFonts w:ascii="Arial" w:hAnsi="Arial" w:cs="Arial"/>
          <w:sz w:val="24"/>
          <w:szCs w:val="24"/>
        </w:rPr>
        <w:t xml:space="preserve">, unless their request is for an earlier hearing date. </w:t>
      </w:r>
    </w:p>
    <w:p w:rsidR="00317E08" w:rsidRPr="004211EB" w:rsidRDefault="00317E08" w:rsidP="00C21242">
      <w:pPr>
        <w:jc w:val="both"/>
        <w:rPr>
          <w:rFonts w:ascii="Arial" w:hAnsi="Arial" w:cs="Arial"/>
          <w:sz w:val="24"/>
          <w:szCs w:val="24"/>
        </w:rPr>
      </w:pPr>
      <w:r w:rsidRPr="004211EB">
        <w:rPr>
          <w:rFonts w:ascii="Arial" w:hAnsi="Arial" w:cs="Arial"/>
          <w:sz w:val="24"/>
          <w:szCs w:val="24"/>
        </w:rPr>
        <w:t>If the request is for an earlier hearing date, please see below.</w:t>
      </w:r>
    </w:p>
    <w:p w:rsidR="00317E08" w:rsidRPr="00C755FC" w:rsidRDefault="00317E08" w:rsidP="00317E08">
      <w:pPr>
        <w:rPr>
          <w:rFonts w:ascii="Arial" w:hAnsi="Arial" w:cs="Arial"/>
          <w:b/>
          <w:sz w:val="24"/>
          <w:szCs w:val="24"/>
        </w:rPr>
      </w:pPr>
      <w:r w:rsidRPr="00C755FC">
        <w:rPr>
          <w:rFonts w:ascii="Arial" w:hAnsi="Arial" w:cs="Arial"/>
          <w:b/>
          <w:sz w:val="24"/>
          <w:szCs w:val="24"/>
        </w:rPr>
        <w:t xml:space="preserve">Application </w:t>
      </w:r>
      <w:r w:rsidR="001A5E04">
        <w:rPr>
          <w:rFonts w:ascii="Arial" w:hAnsi="Arial" w:cs="Arial"/>
          <w:b/>
          <w:sz w:val="24"/>
          <w:szCs w:val="24"/>
        </w:rPr>
        <w:t>for a procedural hearing (including applications to expedite)</w:t>
      </w:r>
    </w:p>
    <w:p w:rsidR="00317E08" w:rsidRPr="004211EB" w:rsidRDefault="00317E08" w:rsidP="00C21242">
      <w:pPr>
        <w:jc w:val="both"/>
        <w:rPr>
          <w:rFonts w:ascii="Arial" w:hAnsi="Arial" w:cs="Arial"/>
          <w:sz w:val="24"/>
          <w:szCs w:val="24"/>
        </w:rPr>
      </w:pPr>
      <w:r w:rsidRPr="004211EB">
        <w:rPr>
          <w:rFonts w:ascii="Arial" w:hAnsi="Arial" w:cs="Arial"/>
          <w:sz w:val="24"/>
          <w:szCs w:val="24"/>
        </w:rPr>
        <w:t xml:space="preserve">If any party wishes to </w:t>
      </w:r>
      <w:r w:rsidR="001A5E04">
        <w:rPr>
          <w:rFonts w:ascii="Arial" w:hAnsi="Arial" w:cs="Arial"/>
          <w:sz w:val="24"/>
          <w:szCs w:val="24"/>
        </w:rPr>
        <w:t>apply for a procedural hearing</w:t>
      </w:r>
      <w:r w:rsidR="0001430A">
        <w:rPr>
          <w:rFonts w:ascii="Arial" w:hAnsi="Arial" w:cs="Arial"/>
          <w:sz w:val="24"/>
          <w:szCs w:val="24"/>
        </w:rPr>
        <w:t xml:space="preserve">, </w:t>
      </w:r>
      <w:r w:rsidR="0001430A" w:rsidRPr="004211EB">
        <w:rPr>
          <w:rFonts w:ascii="Arial" w:hAnsi="Arial" w:cs="Arial"/>
          <w:sz w:val="24"/>
          <w:szCs w:val="24"/>
        </w:rPr>
        <w:t>they are directed to the process set out in Rule 30</w:t>
      </w:r>
      <w:r w:rsidR="0001430A">
        <w:rPr>
          <w:rStyle w:val="FootnoteReference"/>
          <w:rFonts w:ascii="Arial" w:hAnsi="Arial" w:cs="Arial"/>
          <w:sz w:val="24"/>
          <w:szCs w:val="24"/>
        </w:rPr>
        <w:footnoteReference w:id="5"/>
      </w:r>
      <w:r w:rsidR="0001430A" w:rsidRPr="004211EB">
        <w:rPr>
          <w:rFonts w:ascii="Arial" w:hAnsi="Arial" w:cs="Arial"/>
          <w:sz w:val="24"/>
          <w:szCs w:val="24"/>
        </w:rPr>
        <w:t xml:space="preserve">. </w:t>
      </w:r>
      <w:r w:rsidR="0001430A">
        <w:rPr>
          <w:rFonts w:ascii="Arial" w:hAnsi="Arial" w:cs="Arial"/>
          <w:sz w:val="24"/>
          <w:szCs w:val="24"/>
        </w:rPr>
        <w:t xml:space="preserve">This may also be used to apply to </w:t>
      </w:r>
      <w:r w:rsidRPr="004211EB">
        <w:rPr>
          <w:rFonts w:ascii="Arial" w:hAnsi="Arial" w:cs="Arial"/>
          <w:sz w:val="24"/>
          <w:szCs w:val="24"/>
        </w:rPr>
        <w:t>expedite a hearing date</w:t>
      </w:r>
      <w:r w:rsidR="0062108B">
        <w:rPr>
          <w:rFonts w:ascii="Arial" w:hAnsi="Arial" w:cs="Arial"/>
          <w:sz w:val="24"/>
          <w:szCs w:val="24"/>
        </w:rPr>
        <w:t>.</w:t>
      </w:r>
    </w:p>
    <w:p w:rsidR="00317E08" w:rsidRDefault="00317E08" w:rsidP="00C21242">
      <w:pPr>
        <w:jc w:val="both"/>
        <w:rPr>
          <w:rFonts w:ascii="Arial" w:hAnsi="Arial" w:cs="Arial"/>
          <w:sz w:val="24"/>
          <w:szCs w:val="24"/>
        </w:rPr>
      </w:pPr>
      <w:r w:rsidRPr="004211EB">
        <w:rPr>
          <w:rFonts w:ascii="Arial" w:hAnsi="Arial" w:cs="Arial"/>
          <w:sz w:val="24"/>
          <w:szCs w:val="24"/>
        </w:rPr>
        <w:t xml:space="preserve">However, where both parties agree to an expedited hearing date, they may apply to the Hearings Manager for </w:t>
      </w:r>
      <w:r w:rsidR="0001430A">
        <w:rPr>
          <w:rFonts w:ascii="Arial" w:hAnsi="Arial" w:cs="Arial"/>
          <w:sz w:val="24"/>
          <w:szCs w:val="24"/>
        </w:rPr>
        <w:t xml:space="preserve">consideration of our capacity </w:t>
      </w:r>
      <w:bookmarkStart w:id="0" w:name="_GoBack"/>
      <w:bookmarkEnd w:id="0"/>
      <w:r w:rsidR="0001430A">
        <w:rPr>
          <w:rFonts w:ascii="Arial" w:hAnsi="Arial" w:cs="Arial"/>
          <w:sz w:val="24"/>
          <w:szCs w:val="24"/>
        </w:rPr>
        <w:t xml:space="preserve">to offer an </w:t>
      </w:r>
      <w:r w:rsidRPr="004211EB">
        <w:rPr>
          <w:rFonts w:ascii="Arial" w:hAnsi="Arial" w:cs="Arial"/>
          <w:sz w:val="24"/>
          <w:szCs w:val="24"/>
        </w:rPr>
        <w:t>earl</w:t>
      </w:r>
      <w:r w:rsidR="0001430A">
        <w:rPr>
          <w:rFonts w:ascii="Arial" w:hAnsi="Arial" w:cs="Arial"/>
          <w:sz w:val="24"/>
          <w:szCs w:val="24"/>
        </w:rPr>
        <w:t>ier</w:t>
      </w:r>
      <w:r w:rsidRPr="004211EB">
        <w:rPr>
          <w:rFonts w:ascii="Arial" w:hAnsi="Arial" w:cs="Arial"/>
          <w:sz w:val="24"/>
          <w:szCs w:val="24"/>
        </w:rPr>
        <w:t xml:space="preserve"> listing of the case.</w:t>
      </w:r>
      <w:r w:rsidR="0001430A">
        <w:rPr>
          <w:rFonts w:ascii="Arial" w:hAnsi="Arial" w:cs="Arial"/>
          <w:sz w:val="24"/>
          <w:szCs w:val="24"/>
        </w:rPr>
        <w:t xml:space="preserve">  </w:t>
      </w:r>
    </w:p>
    <w:p w:rsidR="0001430A" w:rsidRDefault="0001430A" w:rsidP="00317E08">
      <w:pPr>
        <w:rPr>
          <w:rFonts w:ascii="Arial" w:hAnsi="Arial" w:cs="Arial"/>
          <w:sz w:val="24"/>
          <w:szCs w:val="24"/>
        </w:rPr>
      </w:pPr>
    </w:p>
    <w:p w:rsidR="0001430A" w:rsidRPr="0001430A" w:rsidRDefault="0001430A" w:rsidP="00317E08">
      <w:pPr>
        <w:rPr>
          <w:rFonts w:ascii="Arial" w:hAnsi="Arial" w:cs="Arial"/>
          <w:b/>
          <w:sz w:val="24"/>
          <w:szCs w:val="24"/>
        </w:rPr>
      </w:pPr>
    </w:p>
    <w:p w:rsidR="00821A50" w:rsidRDefault="00821A50" w:rsidP="00821A50">
      <w:pPr>
        <w:rPr>
          <w:rFonts w:ascii="Arial" w:hAnsi="Arial" w:cs="Arial"/>
          <w:b/>
          <w:sz w:val="24"/>
          <w:szCs w:val="24"/>
        </w:rPr>
      </w:pPr>
    </w:p>
    <w:p w:rsidR="00821A50" w:rsidRPr="004211EB" w:rsidRDefault="00821A50" w:rsidP="00317E08">
      <w:pPr>
        <w:rPr>
          <w:rFonts w:ascii="Arial" w:hAnsi="Arial" w:cs="Arial"/>
          <w:sz w:val="24"/>
          <w:szCs w:val="24"/>
        </w:rPr>
      </w:pPr>
    </w:p>
    <w:sectPr w:rsidR="00821A50" w:rsidRPr="004211EB" w:rsidSect="00317E0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2092" w:rsidRDefault="00362092" w:rsidP="00317E08">
      <w:pPr>
        <w:spacing w:after="0" w:line="240" w:lineRule="auto"/>
      </w:pPr>
      <w:r>
        <w:separator/>
      </w:r>
    </w:p>
  </w:endnote>
  <w:endnote w:type="continuationSeparator" w:id="0">
    <w:p w:rsidR="00362092" w:rsidRDefault="00362092" w:rsidP="00317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665C" w:rsidRDefault="001A66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7E08" w:rsidRPr="00317E08" w:rsidRDefault="00317E08" w:rsidP="003F667E">
    <w:pPr>
      <w:pStyle w:val="Footer"/>
      <w:ind w:lef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665C" w:rsidRDefault="001A66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2092" w:rsidRDefault="00362092" w:rsidP="00317E08">
      <w:pPr>
        <w:spacing w:after="0" w:line="240" w:lineRule="auto"/>
      </w:pPr>
      <w:r>
        <w:separator/>
      </w:r>
    </w:p>
  </w:footnote>
  <w:footnote w:type="continuationSeparator" w:id="0">
    <w:p w:rsidR="00362092" w:rsidRDefault="00362092" w:rsidP="00317E08">
      <w:pPr>
        <w:spacing w:after="0" w:line="240" w:lineRule="auto"/>
      </w:pPr>
      <w:r>
        <w:continuationSeparator/>
      </w:r>
    </w:p>
  </w:footnote>
  <w:footnote w:id="1">
    <w:p w:rsidR="00FC7AAE" w:rsidRDefault="00FC7AAE">
      <w:pPr>
        <w:pStyle w:val="FootnoteText"/>
      </w:pPr>
      <w:r>
        <w:rPr>
          <w:rStyle w:val="FootnoteReference"/>
        </w:rPr>
        <w:footnoteRef/>
      </w:r>
      <w:r>
        <w:t xml:space="preserve"> The General Optical Council (Fitness to Practice) Rules 2013</w:t>
      </w:r>
    </w:p>
  </w:footnote>
  <w:footnote w:id="2">
    <w:p w:rsidR="00FC7AAE" w:rsidRDefault="00FC7AAE">
      <w:pPr>
        <w:pStyle w:val="FootnoteText"/>
      </w:pPr>
      <w:r>
        <w:rPr>
          <w:rStyle w:val="FootnoteReference"/>
        </w:rPr>
        <w:footnoteRef/>
      </w:r>
      <w:r>
        <w:t xml:space="preserve"> Vulnerable witnesses</w:t>
      </w:r>
    </w:p>
  </w:footnote>
  <w:footnote w:id="3">
    <w:p w:rsidR="001A5E04" w:rsidRDefault="001A5E04">
      <w:pPr>
        <w:pStyle w:val="FootnoteText"/>
      </w:pPr>
      <w:r>
        <w:rPr>
          <w:rStyle w:val="FootnoteReference"/>
        </w:rPr>
        <w:footnoteRef/>
      </w:r>
      <w:r>
        <w:t xml:space="preserve"> Date of substantive hearing</w:t>
      </w:r>
    </w:p>
  </w:footnote>
  <w:footnote w:id="4">
    <w:p w:rsidR="001A5E04" w:rsidRDefault="001A5E04">
      <w:pPr>
        <w:pStyle w:val="FootnoteText"/>
      </w:pPr>
      <w:r>
        <w:rPr>
          <w:rStyle w:val="FootnoteReference"/>
        </w:rPr>
        <w:footnoteRef/>
      </w:r>
      <w:r>
        <w:t xml:space="preserve"> Adjournments</w:t>
      </w:r>
    </w:p>
  </w:footnote>
  <w:footnote w:id="5">
    <w:p w:rsidR="0001430A" w:rsidRDefault="0001430A" w:rsidP="0001430A">
      <w:pPr>
        <w:pStyle w:val="FootnoteText"/>
      </w:pPr>
      <w:r>
        <w:rPr>
          <w:rStyle w:val="FootnoteReference"/>
        </w:rPr>
        <w:footnoteRef/>
      </w:r>
      <w:r>
        <w:t xml:space="preserve"> Procedural Hearings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665C" w:rsidRDefault="00DF06C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141516" o:spid="_x0000_s6146"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7E08" w:rsidRPr="00317E08" w:rsidRDefault="00DF06C8" w:rsidP="00317E08">
    <w:pPr>
      <w:pStyle w:val="Header"/>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141517" o:spid="_x0000_s6147" type="#_x0000_t136" style="position:absolute;left:0;text-align:left;margin-left:0;margin-top:0;width:397.65pt;height:238.6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7E08" w:rsidRDefault="00DF06C8" w:rsidP="00317E08">
    <w:pPr>
      <w:pStyle w:val="Header"/>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141515" o:spid="_x0000_s6145" type="#_x0000_t136" style="position:absolute;left:0;text-align:left;margin-left:0;margin-top:0;width:397.65pt;height:238.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317E08">
      <w:rPr>
        <w:rFonts w:ascii="Arial" w:hAnsi="Arial" w:cs="Arial"/>
        <w:noProof/>
      </w:rPr>
      <w:drawing>
        <wp:inline distT="0" distB="0" distL="0" distR="0" wp14:anchorId="1557DE09" wp14:editId="66EDA961">
          <wp:extent cx="2087880" cy="731520"/>
          <wp:effectExtent l="0" t="0" r="7620" b="0"/>
          <wp:docPr id="2" name="Picture 2" descr="GOC_logo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OC_logo_4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7880" cy="7315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082681"/>
    <w:multiLevelType w:val="hybridMultilevel"/>
    <w:tmpl w:val="96641B0A"/>
    <w:lvl w:ilvl="0" w:tplc="5E14BA3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5A50B2"/>
    <w:multiLevelType w:val="hybridMultilevel"/>
    <w:tmpl w:val="21A6215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B8D730F"/>
    <w:multiLevelType w:val="hybridMultilevel"/>
    <w:tmpl w:val="ADFAF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36202B"/>
    <w:multiLevelType w:val="hybridMultilevel"/>
    <w:tmpl w:val="B664A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2712FD"/>
    <w:multiLevelType w:val="hybridMultilevel"/>
    <w:tmpl w:val="6F4AEBD0"/>
    <w:lvl w:ilvl="0" w:tplc="5E14BA32">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DBC596B"/>
    <w:multiLevelType w:val="hybridMultilevel"/>
    <w:tmpl w:val="48E01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90300E"/>
    <w:multiLevelType w:val="hybridMultilevel"/>
    <w:tmpl w:val="6246B23A"/>
    <w:lvl w:ilvl="0" w:tplc="8A4C1044">
      <w:start w:val="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CBD1214"/>
    <w:multiLevelType w:val="hybridMultilevel"/>
    <w:tmpl w:val="928C7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125BD1"/>
    <w:multiLevelType w:val="hybridMultilevel"/>
    <w:tmpl w:val="308858B8"/>
    <w:lvl w:ilvl="0" w:tplc="1F60FA10">
      <w:start w:val="1"/>
      <w:numFmt w:val="decimal"/>
      <w:lvlText w:val="%1."/>
      <w:lvlJc w:val="left"/>
      <w:pPr>
        <w:ind w:left="720" w:hanging="360"/>
      </w:pPr>
      <w:rPr>
        <w:rFonts w:hint="default"/>
        <w:vertAlign w:val="superscrip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7"/>
  </w:num>
  <w:num w:numId="5">
    <w:abstractNumId w:val="1"/>
  </w:num>
  <w:num w:numId="6">
    <w:abstractNumId w:val="5"/>
  </w:num>
  <w:num w:numId="7">
    <w:abstractNumId w:val="0"/>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8"/>
    <o:shapelayout v:ext="edit">
      <o:idmap v:ext="edit" data="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E08"/>
    <w:rsid w:val="0001430A"/>
    <w:rsid w:val="0002719B"/>
    <w:rsid w:val="000339DA"/>
    <w:rsid w:val="00093053"/>
    <w:rsid w:val="00115B05"/>
    <w:rsid w:val="001368C8"/>
    <w:rsid w:val="001A5E04"/>
    <w:rsid w:val="001A665C"/>
    <w:rsid w:val="002474F6"/>
    <w:rsid w:val="002D2048"/>
    <w:rsid w:val="00316BCB"/>
    <w:rsid w:val="00317E08"/>
    <w:rsid w:val="0035010C"/>
    <w:rsid w:val="003601BF"/>
    <w:rsid w:val="00362092"/>
    <w:rsid w:val="003877C1"/>
    <w:rsid w:val="003F667E"/>
    <w:rsid w:val="004211EB"/>
    <w:rsid w:val="005B5088"/>
    <w:rsid w:val="005B7F9D"/>
    <w:rsid w:val="005D18AD"/>
    <w:rsid w:val="0062108B"/>
    <w:rsid w:val="00696714"/>
    <w:rsid w:val="006C5B69"/>
    <w:rsid w:val="007338B4"/>
    <w:rsid w:val="00777E67"/>
    <w:rsid w:val="007C262A"/>
    <w:rsid w:val="00821A50"/>
    <w:rsid w:val="00836554"/>
    <w:rsid w:val="0088497F"/>
    <w:rsid w:val="00890E82"/>
    <w:rsid w:val="00932D1D"/>
    <w:rsid w:val="009570DF"/>
    <w:rsid w:val="00A13F11"/>
    <w:rsid w:val="00A46224"/>
    <w:rsid w:val="00AD7AD4"/>
    <w:rsid w:val="00B34AC3"/>
    <w:rsid w:val="00B45161"/>
    <w:rsid w:val="00B67146"/>
    <w:rsid w:val="00B67BC5"/>
    <w:rsid w:val="00B95ED5"/>
    <w:rsid w:val="00BF51E2"/>
    <w:rsid w:val="00C21242"/>
    <w:rsid w:val="00C709F3"/>
    <w:rsid w:val="00C755FC"/>
    <w:rsid w:val="00CE0A8A"/>
    <w:rsid w:val="00D01428"/>
    <w:rsid w:val="00D248B3"/>
    <w:rsid w:val="00D63BEE"/>
    <w:rsid w:val="00DA656C"/>
    <w:rsid w:val="00DF06C8"/>
    <w:rsid w:val="00E31896"/>
    <w:rsid w:val="00E502B9"/>
    <w:rsid w:val="00ED79D3"/>
    <w:rsid w:val="00F67BE1"/>
    <w:rsid w:val="00FC0A56"/>
    <w:rsid w:val="00FC7A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8"/>
    <o:shapelayout v:ext="edit">
      <o:idmap v:ext="edit" data="1"/>
    </o:shapelayout>
  </w:shapeDefaults>
  <w:decimalSymbol w:val="."/>
  <w:listSeparator w:val=","/>
  <w14:docId w14:val="616D3856"/>
  <w15:chartTrackingRefBased/>
  <w15:docId w15:val="{C5AA11F0-C768-415A-87B0-5BCCACA2F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7E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7E08"/>
  </w:style>
  <w:style w:type="paragraph" w:styleId="Footer">
    <w:name w:val="footer"/>
    <w:basedOn w:val="Normal"/>
    <w:link w:val="FooterChar"/>
    <w:uiPriority w:val="99"/>
    <w:unhideWhenUsed/>
    <w:rsid w:val="00317E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7E08"/>
  </w:style>
  <w:style w:type="paragraph" w:styleId="ListParagraph">
    <w:name w:val="List Paragraph"/>
    <w:basedOn w:val="Normal"/>
    <w:uiPriority w:val="34"/>
    <w:qFormat/>
    <w:rsid w:val="00C755FC"/>
    <w:pPr>
      <w:ind w:left="720"/>
      <w:contextualSpacing/>
    </w:pPr>
  </w:style>
  <w:style w:type="paragraph" w:styleId="BalloonText">
    <w:name w:val="Balloon Text"/>
    <w:basedOn w:val="Normal"/>
    <w:link w:val="BalloonTextChar"/>
    <w:uiPriority w:val="99"/>
    <w:semiHidden/>
    <w:unhideWhenUsed/>
    <w:rsid w:val="003F66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667E"/>
    <w:rPr>
      <w:rFonts w:ascii="Segoe UI" w:hAnsi="Segoe UI" w:cs="Segoe UI"/>
      <w:sz w:val="18"/>
      <w:szCs w:val="18"/>
    </w:rPr>
  </w:style>
  <w:style w:type="paragraph" w:styleId="FootnoteText">
    <w:name w:val="footnote text"/>
    <w:basedOn w:val="Normal"/>
    <w:link w:val="FootnoteTextChar"/>
    <w:uiPriority w:val="99"/>
    <w:semiHidden/>
    <w:unhideWhenUsed/>
    <w:rsid w:val="00FC7A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7AAE"/>
    <w:rPr>
      <w:sz w:val="20"/>
      <w:szCs w:val="20"/>
    </w:rPr>
  </w:style>
  <w:style w:type="character" w:styleId="FootnoteReference">
    <w:name w:val="footnote reference"/>
    <w:basedOn w:val="DefaultParagraphFont"/>
    <w:uiPriority w:val="99"/>
    <w:semiHidden/>
    <w:unhideWhenUsed/>
    <w:rsid w:val="00FC7A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EA9BA2333A42A4CB673D5071158D719" ma:contentTypeVersion="11" ma:contentTypeDescription="Create a new document." ma:contentTypeScope="" ma:versionID="e93f25d59375f4c5684a7070748cbc38">
  <xsd:schema xmlns:xsd="http://www.w3.org/2001/XMLSchema" xmlns:xs="http://www.w3.org/2001/XMLSchema" xmlns:p="http://schemas.microsoft.com/office/2006/metadata/properties" xmlns:ns2="f90a1dd0-6c0f-4c6a-ae10-f2924458b6b8" xmlns:ns3="2ab532f8-9fc8-417f-a316-f81f417ed139" targetNamespace="http://schemas.microsoft.com/office/2006/metadata/properties" ma:root="true" ma:fieldsID="75117fa90ff39bd53e67eee5d7cb00cc" ns2:_="" ns3:_="">
    <xsd:import namespace="f90a1dd0-6c0f-4c6a-ae10-f2924458b6b8"/>
    <xsd:import namespace="2ab532f8-9fc8-417f-a316-f81f417ed1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0a1dd0-6c0f-4c6a-ae10-f2924458b6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b532f8-9fc8-417f-a316-f81f417ed1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DE10FD-0FA4-4BFF-807C-A76C61159C2A}">
  <ds:schemaRefs>
    <ds:schemaRef ds:uri="http://schemas.openxmlformats.org/officeDocument/2006/bibliography"/>
  </ds:schemaRefs>
</ds:datastoreItem>
</file>

<file path=customXml/itemProps2.xml><?xml version="1.0" encoding="utf-8"?>
<ds:datastoreItem xmlns:ds="http://schemas.openxmlformats.org/officeDocument/2006/customXml" ds:itemID="{468A496D-25EA-4D04-8710-08D7375532C4}"/>
</file>

<file path=customXml/itemProps3.xml><?xml version="1.0" encoding="utf-8"?>
<ds:datastoreItem xmlns:ds="http://schemas.openxmlformats.org/officeDocument/2006/customXml" ds:itemID="{E17DAB90-EBA9-4D61-8B6C-250C95E3ACB0}"/>
</file>

<file path=customXml/itemProps4.xml><?xml version="1.0" encoding="utf-8"?>
<ds:datastoreItem xmlns:ds="http://schemas.openxmlformats.org/officeDocument/2006/customXml" ds:itemID="{9C25AB49-E874-40AC-9C86-F166C2DBFB79}"/>
</file>

<file path=docProps/app.xml><?xml version="1.0" encoding="utf-8"?>
<Properties xmlns="http://schemas.openxmlformats.org/officeDocument/2006/extended-properties" xmlns:vt="http://schemas.openxmlformats.org/officeDocument/2006/docPropsVTypes">
  <Template>Normal</Template>
  <TotalTime>199</TotalTime>
  <Pages>3</Pages>
  <Words>886</Words>
  <Characters>5054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Vineeta Desai</dc:creator>
  <cp:keywords/>
  <dc:description/>
  <cp:lastModifiedBy>Vineeta Desai</cp:lastModifiedBy>
  <cp:revision>12</cp:revision>
  <dcterms:created xsi:type="dcterms:W3CDTF">2019-06-14T16:16:00Z</dcterms:created>
  <dcterms:modified xsi:type="dcterms:W3CDTF">2019-10-07T08:43:00Z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0x0101003EA9BA2333A42A4CB673D5071158D719</vt:lpwstr>
  </property>
</Properties>
</file>