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1CFF" w14:textId="77777777" w:rsidR="00BB2B31" w:rsidRDefault="00BB2B31"/>
    <w:p w14:paraId="06FE43A6" w14:textId="77777777" w:rsidR="00CA58D2" w:rsidRDefault="00CA58D2"/>
    <w:p w14:paraId="6E84F699" w14:textId="372B2B89" w:rsidR="002237B4" w:rsidRDefault="00BB2B31">
      <w:r>
        <w:rPr>
          <w:noProof/>
        </w:rPr>
        <w:drawing>
          <wp:anchor distT="0" distB="0" distL="114300" distR="114300" simplePos="0" relativeHeight="251658240" behindDoc="0" locked="0" layoutInCell="1" allowOverlap="1" wp14:anchorId="3403F1BC" wp14:editId="65EBB90B">
            <wp:simplePos x="0" y="0"/>
            <wp:positionH relativeFrom="column">
              <wp:posOffset>2575560</wp:posOffset>
            </wp:positionH>
            <wp:positionV relativeFrom="paragraph">
              <wp:posOffset>-30480</wp:posOffset>
            </wp:positionV>
            <wp:extent cx="3448050" cy="1214001"/>
            <wp:effectExtent l="0" t="0" r="0" b="0"/>
            <wp:wrapSquare wrapText="bothSides"/>
            <wp:docPr id="1952957978" name="Picture 195295797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57978" name="Picture 1952957978"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8050" cy="1214001"/>
                    </a:xfrm>
                    <a:prstGeom prst="rect">
                      <a:avLst/>
                    </a:prstGeom>
                  </pic:spPr>
                </pic:pic>
              </a:graphicData>
            </a:graphic>
            <wp14:sizeRelH relativeFrom="page">
              <wp14:pctWidth>0</wp14:pctWidth>
            </wp14:sizeRelH>
            <wp14:sizeRelV relativeFrom="page">
              <wp14:pctHeight>0</wp14:pctHeight>
            </wp14:sizeRelV>
          </wp:anchor>
        </w:drawing>
      </w:r>
    </w:p>
    <w:p w14:paraId="0E31F11A" w14:textId="2CFB2D1E" w:rsidR="00BB2B31" w:rsidRPr="00BB2B31" w:rsidRDefault="00BB2B31" w:rsidP="00BB2B31"/>
    <w:p w14:paraId="3AFE93FE" w14:textId="538044AC" w:rsidR="00BB2B31" w:rsidRPr="00BB2B31" w:rsidRDefault="00BB2B31" w:rsidP="00BB2B31"/>
    <w:p w14:paraId="7AD76CAC" w14:textId="3570FBCB" w:rsidR="00BB2B31" w:rsidRPr="00BB2B31" w:rsidRDefault="00BB2B31" w:rsidP="00BB2B31"/>
    <w:p w14:paraId="4A787795" w14:textId="0A906AFF" w:rsidR="00BB2B31" w:rsidRPr="00BB2B31" w:rsidRDefault="00BB2B31" w:rsidP="00BB2B31"/>
    <w:p w14:paraId="61656046" w14:textId="092B3AA5" w:rsidR="00BB2B31" w:rsidRPr="00BB2B31" w:rsidRDefault="00BB2B31" w:rsidP="00BB2B31"/>
    <w:p w14:paraId="5A757DEB" w14:textId="686C8021" w:rsidR="00BB2B31" w:rsidRPr="00BB2B31" w:rsidRDefault="00BB2B31" w:rsidP="00BB2B31"/>
    <w:p w14:paraId="257C5113" w14:textId="2D3F0CA3" w:rsidR="00BB2B31" w:rsidRDefault="00BB2B31" w:rsidP="00BB2B31"/>
    <w:p w14:paraId="6DEC5A52" w14:textId="7880BC80" w:rsidR="00BB2B31" w:rsidRPr="005E6B0B" w:rsidRDefault="228AA05E" w:rsidP="619AF99A">
      <w:pPr>
        <w:pStyle w:val="Heading1"/>
        <w:rPr>
          <w:color w:val="005694"/>
        </w:rPr>
      </w:pPr>
      <w:bookmarkStart w:id="0" w:name="_Toc341192612"/>
      <w:bookmarkStart w:id="1" w:name="_Toc820946303"/>
      <w:bookmarkStart w:id="2" w:name="_Toc998798695"/>
      <w:bookmarkStart w:id="3" w:name="_Toc1751692113"/>
      <w:bookmarkStart w:id="4" w:name="_Toc1829820537"/>
      <w:bookmarkStart w:id="5" w:name="_Toc875593373"/>
      <w:r w:rsidRPr="619AF99A">
        <w:rPr>
          <w:color w:val="005694"/>
        </w:rPr>
        <w:t>Investment policy</w:t>
      </w:r>
      <w:bookmarkEnd w:id="0"/>
      <w:bookmarkEnd w:id="1"/>
      <w:bookmarkEnd w:id="2"/>
      <w:bookmarkEnd w:id="3"/>
      <w:bookmarkEnd w:id="4"/>
      <w:bookmarkEnd w:id="5"/>
    </w:p>
    <w:p w14:paraId="45BAAEFD" w14:textId="636DCE1D" w:rsidR="005E6B0B" w:rsidRPr="005E6B0B" w:rsidRDefault="005E6B0B" w:rsidP="619AF99A">
      <w:pPr>
        <w:pStyle w:val="Heading2"/>
        <w:pBdr>
          <w:bottom w:val="single" w:sz="6" w:space="1" w:color="auto"/>
        </w:pBdr>
      </w:pPr>
    </w:p>
    <w:p w14:paraId="772511E3" w14:textId="3B2974F5" w:rsidR="005E6B0B" w:rsidRDefault="005E6B0B" w:rsidP="00BB2B31"/>
    <w:p w14:paraId="5B55DE79" w14:textId="4EBD1FAA" w:rsidR="00F7426D" w:rsidRDefault="00F7426D" w:rsidP="619AF99A"/>
    <w:tbl>
      <w:tblPr>
        <w:tblW w:w="0" w:type="auto"/>
        <w:tblInd w:w="95" w:type="dxa"/>
        <w:tblLayout w:type="fixed"/>
        <w:tblCellMar>
          <w:left w:w="0" w:type="dxa"/>
          <w:right w:w="0" w:type="dxa"/>
        </w:tblCellMar>
        <w:tblLook w:val="01E0" w:firstRow="1" w:lastRow="1" w:firstColumn="1" w:lastColumn="1" w:noHBand="0" w:noVBand="0"/>
      </w:tblPr>
      <w:tblGrid>
        <w:gridCol w:w="3256"/>
        <w:gridCol w:w="4394"/>
      </w:tblGrid>
      <w:tr w:rsidR="00F7426D" w:rsidRPr="00596D98" w14:paraId="527738F0" w14:textId="77777777" w:rsidTr="000B80B0">
        <w:trPr>
          <w:trHeight w:val="420"/>
        </w:trPr>
        <w:tc>
          <w:tcPr>
            <w:tcW w:w="32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049623" w14:textId="77777777" w:rsidR="00F7426D" w:rsidRPr="00596D98" w:rsidRDefault="00F7426D" w:rsidP="00F7426D">
            <w:pPr>
              <w:spacing w:before="240" w:line="260" w:lineRule="exact"/>
              <w:ind w:left="102"/>
              <w:rPr>
                <w:rFonts w:ascii="Arial" w:eastAsia="Arial" w:hAnsi="Arial" w:cs="Arial"/>
                <w:sz w:val="24"/>
                <w:szCs w:val="24"/>
              </w:rPr>
            </w:pPr>
            <w:r w:rsidRPr="00596D98">
              <w:rPr>
                <w:rFonts w:ascii="Arial" w:eastAsia="Arial" w:hAnsi="Arial" w:cs="Arial"/>
                <w:sz w:val="24"/>
                <w:szCs w:val="24"/>
              </w:rPr>
              <w:t>Status of document:</w:t>
            </w:r>
          </w:p>
        </w:tc>
        <w:tc>
          <w:tcPr>
            <w:tcW w:w="43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009595" w14:textId="2C1E73FD" w:rsidR="00F7426D" w:rsidRPr="00596D98" w:rsidRDefault="00B04B94" w:rsidP="00F7426D">
            <w:pPr>
              <w:spacing w:before="240" w:line="260" w:lineRule="exact"/>
              <w:ind w:left="103"/>
              <w:rPr>
                <w:rFonts w:ascii="Arial" w:eastAsia="Arial" w:hAnsi="Arial" w:cs="Arial"/>
                <w:sz w:val="24"/>
                <w:szCs w:val="24"/>
              </w:rPr>
            </w:pPr>
            <w:r>
              <w:rPr>
                <w:rFonts w:ascii="Arial" w:eastAsia="Arial" w:hAnsi="Arial" w:cs="Arial"/>
                <w:sz w:val="24"/>
                <w:szCs w:val="24"/>
              </w:rPr>
              <w:t>Council Approved</w:t>
            </w:r>
          </w:p>
        </w:tc>
      </w:tr>
      <w:tr w:rsidR="00F7426D" w:rsidRPr="00596D98" w14:paraId="14F76AD5" w14:textId="77777777" w:rsidTr="000B80B0">
        <w:trPr>
          <w:trHeight w:val="420"/>
        </w:trPr>
        <w:tc>
          <w:tcPr>
            <w:tcW w:w="32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2D037CA" w14:textId="77777777" w:rsidR="00F7426D" w:rsidRPr="00596D98" w:rsidRDefault="00F7426D" w:rsidP="00F7426D">
            <w:pPr>
              <w:spacing w:before="240" w:line="260" w:lineRule="exact"/>
              <w:ind w:left="102"/>
              <w:rPr>
                <w:rFonts w:ascii="Arial" w:eastAsia="Arial" w:hAnsi="Arial" w:cs="Arial"/>
                <w:sz w:val="24"/>
                <w:szCs w:val="24"/>
              </w:rPr>
            </w:pPr>
            <w:r w:rsidRPr="00596D98">
              <w:rPr>
                <w:rFonts w:ascii="Arial" w:eastAsia="Arial" w:hAnsi="Arial" w:cs="Arial"/>
                <w:sz w:val="24"/>
                <w:szCs w:val="24"/>
              </w:rPr>
              <w:t>Version:</w:t>
            </w:r>
          </w:p>
        </w:tc>
        <w:tc>
          <w:tcPr>
            <w:tcW w:w="43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F909BD" w14:textId="018E2F8B" w:rsidR="00F7426D" w:rsidRPr="00596D98" w:rsidRDefault="03B4F661" w:rsidP="00F7426D">
            <w:pPr>
              <w:spacing w:before="240" w:line="260" w:lineRule="exact"/>
              <w:ind w:left="103"/>
              <w:rPr>
                <w:rFonts w:ascii="Arial" w:eastAsia="Arial" w:hAnsi="Arial" w:cs="Arial"/>
                <w:sz w:val="24"/>
                <w:szCs w:val="24"/>
              </w:rPr>
            </w:pPr>
            <w:r w:rsidRPr="000B80B0">
              <w:rPr>
                <w:rFonts w:ascii="Arial" w:eastAsia="Arial" w:hAnsi="Arial" w:cs="Arial"/>
                <w:sz w:val="24"/>
                <w:szCs w:val="24"/>
              </w:rPr>
              <w:t>V</w:t>
            </w:r>
            <w:r w:rsidR="36B982D5" w:rsidRPr="000B80B0">
              <w:rPr>
                <w:rFonts w:ascii="Arial" w:eastAsia="Arial" w:hAnsi="Arial" w:cs="Arial"/>
                <w:sz w:val="24"/>
                <w:szCs w:val="24"/>
              </w:rPr>
              <w:t>1</w:t>
            </w:r>
            <w:r w:rsidRPr="000B80B0">
              <w:rPr>
                <w:rFonts w:ascii="Arial" w:eastAsia="Arial" w:hAnsi="Arial" w:cs="Arial"/>
                <w:sz w:val="24"/>
                <w:szCs w:val="24"/>
              </w:rPr>
              <w:t>.1</w:t>
            </w:r>
          </w:p>
        </w:tc>
      </w:tr>
      <w:tr w:rsidR="00F7426D" w:rsidRPr="00596D98" w14:paraId="76A6910D" w14:textId="77777777" w:rsidTr="000B80B0">
        <w:trPr>
          <w:trHeight w:val="420"/>
        </w:trPr>
        <w:tc>
          <w:tcPr>
            <w:tcW w:w="32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CA38AE" w14:textId="77777777" w:rsidR="00F7426D" w:rsidRPr="00596D98" w:rsidRDefault="00F7426D" w:rsidP="00F7426D">
            <w:pPr>
              <w:spacing w:before="240" w:line="260" w:lineRule="exact"/>
              <w:ind w:left="102"/>
              <w:rPr>
                <w:rFonts w:ascii="Arial" w:eastAsia="Arial" w:hAnsi="Arial" w:cs="Arial"/>
                <w:sz w:val="24"/>
                <w:szCs w:val="24"/>
              </w:rPr>
            </w:pPr>
            <w:r w:rsidRPr="00596D98">
              <w:rPr>
                <w:rFonts w:ascii="Arial" w:eastAsia="Arial" w:hAnsi="Arial" w:cs="Arial"/>
                <w:sz w:val="24"/>
                <w:szCs w:val="24"/>
              </w:rPr>
              <w:t>Date of approval:</w:t>
            </w:r>
          </w:p>
        </w:tc>
        <w:tc>
          <w:tcPr>
            <w:tcW w:w="43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28E8E1" w14:textId="623B64FD" w:rsidR="00F7426D" w:rsidRPr="00596D98" w:rsidRDefault="004164D3" w:rsidP="704980CB">
            <w:pPr>
              <w:spacing w:before="240" w:line="260" w:lineRule="exact"/>
              <w:ind w:left="102"/>
              <w:rPr>
                <w:rFonts w:ascii="Arial" w:eastAsia="Arial" w:hAnsi="Arial" w:cs="Arial"/>
                <w:sz w:val="24"/>
                <w:szCs w:val="24"/>
              </w:rPr>
            </w:pPr>
            <w:r>
              <w:rPr>
                <w:rFonts w:ascii="Arial" w:eastAsia="Arial" w:hAnsi="Arial" w:cs="Arial"/>
                <w:sz w:val="24"/>
                <w:szCs w:val="24"/>
              </w:rPr>
              <w:t>11 December 2024</w:t>
            </w:r>
          </w:p>
          <w:p w14:paraId="52ED5A1B" w14:textId="1B9E2CF5" w:rsidR="00F7426D" w:rsidRPr="00596D98" w:rsidRDefault="00F7426D" w:rsidP="00F7426D">
            <w:pPr>
              <w:spacing w:before="240" w:line="260" w:lineRule="exact"/>
              <w:ind w:left="102"/>
              <w:rPr>
                <w:rFonts w:ascii="Arial" w:eastAsia="Arial" w:hAnsi="Arial" w:cs="Arial"/>
                <w:sz w:val="24"/>
                <w:szCs w:val="24"/>
              </w:rPr>
            </w:pPr>
          </w:p>
        </w:tc>
      </w:tr>
      <w:tr w:rsidR="00F7426D" w:rsidRPr="00596D98" w14:paraId="71840FD0" w14:textId="77777777" w:rsidTr="000B80B0">
        <w:trPr>
          <w:trHeight w:val="420"/>
        </w:trPr>
        <w:tc>
          <w:tcPr>
            <w:tcW w:w="32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17985B" w14:textId="77777777" w:rsidR="00F7426D" w:rsidRPr="00596D98" w:rsidRDefault="00F7426D" w:rsidP="00F7426D">
            <w:pPr>
              <w:spacing w:before="240" w:line="260" w:lineRule="exact"/>
              <w:ind w:left="102"/>
              <w:rPr>
                <w:rFonts w:ascii="Arial" w:eastAsia="Arial" w:hAnsi="Arial" w:cs="Arial"/>
                <w:sz w:val="24"/>
                <w:szCs w:val="24"/>
              </w:rPr>
            </w:pPr>
            <w:r w:rsidRPr="00596D98">
              <w:rPr>
                <w:rFonts w:ascii="Arial" w:eastAsia="Arial" w:hAnsi="Arial" w:cs="Arial"/>
                <w:sz w:val="24"/>
                <w:szCs w:val="24"/>
              </w:rPr>
              <w:t>Effective from:</w:t>
            </w:r>
          </w:p>
        </w:tc>
        <w:tc>
          <w:tcPr>
            <w:tcW w:w="43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73CC5FA" w14:textId="5A6819F8" w:rsidR="00F7426D" w:rsidRPr="00596D98" w:rsidRDefault="004164D3" w:rsidP="00F7426D">
            <w:pPr>
              <w:spacing w:before="240" w:line="260" w:lineRule="exact"/>
              <w:ind w:left="102"/>
              <w:rPr>
                <w:rFonts w:ascii="Arial" w:eastAsia="Arial" w:hAnsi="Arial" w:cs="Arial"/>
                <w:sz w:val="24"/>
                <w:szCs w:val="24"/>
              </w:rPr>
            </w:pPr>
            <w:r>
              <w:rPr>
                <w:rFonts w:ascii="Arial" w:eastAsia="Arial" w:hAnsi="Arial" w:cs="Arial"/>
                <w:sz w:val="24"/>
                <w:szCs w:val="24"/>
              </w:rPr>
              <w:t>1 January 2025</w:t>
            </w:r>
          </w:p>
        </w:tc>
      </w:tr>
      <w:tr w:rsidR="00F7426D" w:rsidRPr="00596D98" w14:paraId="5E41F2A4" w14:textId="77777777" w:rsidTr="000B80B0">
        <w:trPr>
          <w:trHeight w:val="420"/>
        </w:trPr>
        <w:tc>
          <w:tcPr>
            <w:tcW w:w="32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25F9279" w14:textId="77777777" w:rsidR="00F7426D" w:rsidRPr="00596D98" w:rsidRDefault="00F7426D" w:rsidP="00F7426D">
            <w:pPr>
              <w:spacing w:before="240" w:line="260" w:lineRule="exact"/>
              <w:ind w:left="102"/>
              <w:rPr>
                <w:rFonts w:ascii="Arial" w:eastAsia="Arial" w:hAnsi="Arial" w:cs="Arial"/>
                <w:sz w:val="24"/>
                <w:szCs w:val="24"/>
              </w:rPr>
            </w:pPr>
            <w:r w:rsidRPr="00596D98">
              <w:rPr>
                <w:rFonts w:ascii="Arial" w:eastAsia="Arial" w:hAnsi="Arial" w:cs="Arial"/>
                <w:sz w:val="24"/>
                <w:szCs w:val="24"/>
              </w:rPr>
              <w:t>Owner:</w:t>
            </w:r>
          </w:p>
        </w:tc>
        <w:tc>
          <w:tcPr>
            <w:tcW w:w="43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832C29" w14:textId="175DA093" w:rsidR="00F7426D" w:rsidRPr="00596D98" w:rsidRDefault="14486484" w:rsidP="00F7426D">
            <w:pPr>
              <w:spacing w:before="240" w:line="260" w:lineRule="exact"/>
              <w:ind w:left="102"/>
              <w:rPr>
                <w:rFonts w:ascii="Arial" w:eastAsia="Arial" w:hAnsi="Arial" w:cs="Arial"/>
                <w:sz w:val="24"/>
                <w:szCs w:val="24"/>
              </w:rPr>
            </w:pPr>
            <w:r w:rsidRPr="619AF99A">
              <w:rPr>
                <w:rFonts w:ascii="Arial" w:eastAsia="Arial" w:hAnsi="Arial" w:cs="Arial"/>
                <w:sz w:val="24"/>
                <w:szCs w:val="24"/>
              </w:rPr>
              <w:t>Director of Corporate Services</w:t>
            </w:r>
          </w:p>
        </w:tc>
      </w:tr>
      <w:tr w:rsidR="00F7426D" w:rsidRPr="00596D98" w14:paraId="4E1C2B5F" w14:textId="77777777" w:rsidTr="000B80B0">
        <w:trPr>
          <w:trHeight w:val="420"/>
        </w:trPr>
        <w:tc>
          <w:tcPr>
            <w:tcW w:w="32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065DF0" w14:textId="77777777" w:rsidR="00F7426D" w:rsidRPr="00596D98" w:rsidRDefault="00F7426D" w:rsidP="00F7426D">
            <w:pPr>
              <w:spacing w:before="240" w:line="260" w:lineRule="exact"/>
              <w:ind w:left="102"/>
              <w:rPr>
                <w:rFonts w:ascii="Arial" w:eastAsia="Arial" w:hAnsi="Arial" w:cs="Arial"/>
                <w:sz w:val="24"/>
                <w:szCs w:val="24"/>
              </w:rPr>
            </w:pPr>
            <w:r w:rsidRPr="00596D98">
              <w:rPr>
                <w:rFonts w:ascii="Arial" w:eastAsia="Arial" w:hAnsi="Arial" w:cs="Arial"/>
                <w:sz w:val="24"/>
                <w:szCs w:val="24"/>
              </w:rPr>
              <w:t>Author:</w:t>
            </w:r>
          </w:p>
        </w:tc>
        <w:tc>
          <w:tcPr>
            <w:tcW w:w="43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4E8A4B" w14:textId="1DE906F0" w:rsidR="00F7426D" w:rsidRPr="00596D98" w:rsidRDefault="499A640B" w:rsidP="00F7426D">
            <w:pPr>
              <w:spacing w:before="240" w:line="260" w:lineRule="exact"/>
              <w:ind w:left="102"/>
              <w:rPr>
                <w:rFonts w:ascii="Arial" w:eastAsia="Arial" w:hAnsi="Arial" w:cs="Arial"/>
                <w:sz w:val="24"/>
                <w:szCs w:val="24"/>
              </w:rPr>
            </w:pPr>
            <w:r w:rsidRPr="619AF99A">
              <w:rPr>
                <w:rFonts w:ascii="Arial" w:eastAsia="Arial" w:hAnsi="Arial" w:cs="Arial"/>
                <w:sz w:val="24"/>
                <w:szCs w:val="24"/>
              </w:rPr>
              <w:t>Director of Corporate Services</w:t>
            </w:r>
          </w:p>
        </w:tc>
      </w:tr>
      <w:tr w:rsidR="00F7426D" w:rsidRPr="00596D98" w14:paraId="22E833ED" w14:textId="77777777" w:rsidTr="000B80B0">
        <w:trPr>
          <w:trHeight w:val="420"/>
        </w:trPr>
        <w:tc>
          <w:tcPr>
            <w:tcW w:w="325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B8CA55" w14:textId="77777777" w:rsidR="00F7426D" w:rsidRPr="00596D98" w:rsidRDefault="00F7426D" w:rsidP="00F7426D">
            <w:pPr>
              <w:spacing w:before="240" w:line="260" w:lineRule="exact"/>
              <w:ind w:left="102"/>
              <w:rPr>
                <w:rFonts w:ascii="Arial" w:eastAsia="Arial" w:hAnsi="Arial" w:cs="Arial"/>
                <w:sz w:val="24"/>
                <w:szCs w:val="24"/>
              </w:rPr>
            </w:pPr>
            <w:r w:rsidRPr="00596D98">
              <w:rPr>
                <w:rFonts w:ascii="Arial" w:eastAsia="Arial" w:hAnsi="Arial" w:cs="Arial"/>
                <w:sz w:val="24"/>
                <w:szCs w:val="24"/>
              </w:rPr>
              <w:t>Planned next review date:</w:t>
            </w:r>
          </w:p>
        </w:tc>
        <w:tc>
          <w:tcPr>
            <w:tcW w:w="439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36EB28" w14:textId="0C1CB8A5" w:rsidR="00F7426D" w:rsidRPr="00596D98" w:rsidRDefault="3838235D" w:rsidP="00F7426D">
            <w:pPr>
              <w:spacing w:before="240" w:line="260" w:lineRule="exact"/>
              <w:ind w:left="101"/>
              <w:rPr>
                <w:rFonts w:ascii="Arial" w:eastAsia="Arial" w:hAnsi="Arial" w:cs="Arial"/>
                <w:sz w:val="24"/>
                <w:szCs w:val="24"/>
              </w:rPr>
            </w:pPr>
            <w:r w:rsidRPr="619AF99A">
              <w:rPr>
                <w:rFonts w:ascii="Arial" w:eastAsia="Arial" w:hAnsi="Arial" w:cs="Arial"/>
                <w:sz w:val="24"/>
                <w:szCs w:val="24"/>
              </w:rPr>
              <w:t>Approval date + 3 years</w:t>
            </w:r>
          </w:p>
        </w:tc>
      </w:tr>
    </w:tbl>
    <w:p w14:paraId="624411D2" w14:textId="758CAEB0" w:rsidR="00F333BE" w:rsidRDefault="00F333BE" w:rsidP="00BB2B31">
      <w:r>
        <w:br w:type="page"/>
      </w:r>
    </w:p>
    <w:p w14:paraId="3C6F2DAD" w14:textId="5D750336" w:rsidR="619AF99A" w:rsidRDefault="619AF99A" w:rsidP="619AF99A"/>
    <w:p w14:paraId="081DD04B" w14:textId="24FF6464" w:rsidR="619AF99A" w:rsidRDefault="619AF99A" w:rsidP="619AF99A"/>
    <w:p w14:paraId="5814CBA7" w14:textId="628A49CF" w:rsidR="00F7426D" w:rsidRPr="004E2210" w:rsidRDefault="6EC020E1" w:rsidP="004E2210">
      <w:pPr>
        <w:pBdr>
          <w:bottom w:val="single" w:sz="6" w:space="1" w:color="auto"/>
        </w:pBdr>
        <w:rPr>
          <w:rFonts w:ascii="Rockwell" w:hAnsi="Rockwell"/>
          <w:color w:val="005694"/>
          <w:sz w:val="28"/>
          <w:szCs w:val="28"/>
        </w:rPr>
      </w:pPr>
      <w:r w:rsidRPr="619AF99A">
        <w:rPr>
          <w:rFonts w:ascii="Rockwell" w:hAnsi="Rockwell"/>
          <w:color w:val="005694"/>
          <w:sz w:val="28"/>
          <w:szCs w:val="28"/>
        </w:rPr>
        <w:t xml:space="preserve">1. </w:t>
      </w:r>
      <w:r w:rsidR="7821924C" w:rsidRPr="619AF99A">
        <w:rPr>
          <w:rFonts w:ascii="Rockwell" w:hAnsi="Rockwell"/>
          <w:color w:val="005694"/>
          <w:sz w:val="28"/>
          <w:szCs w:val="28"/>
        </w:rPr>
        <w:t>Introduction</w:t>
      </w:r>
    </w:p>
    <w:p w14:paraId="2C4EBFE0" w14:textId="16D93F72" w:rsidR="00F7426D" w:rsidRPr="002831AF" w:rsidRDefault="6EC020E1" w:rsidP="000B80B0">
      <w:pPr>
        <w:jc w:val="both"/>
        <w:rPr>
          <w:rFonts w:ascii="Arial" w:eastAsia="Arial" w:hAnsi="Arial" w:cs="Arial"/>
          <w:color w:val="111111"/>
          <w:sz w:val="24"/>
          <w:szCs w:val="24"/>
        </w:rPr>
      </w:pPr>
      <w:r w:rsidRPr="000B80B0">
        <w:rPr>
          <w:rFonts w:ascii="Arial" w:hAnsi="Arial" w:cs="Arial"/>
          <w:sz w:val="24"/>
          <w:szCs w:val="24"/>
        </w:rPr>
        <w:t xml:space="preserve">1.1 </w:t>
      </w:r>
      <w:r w:rsidR="77B7CEE6" w:rsidRPr="000B80B0">
        <w:rPr>
          <w:rFonts w:ascii="Arial" w:eastAsia="Arial" w:hAnsi="Arial" w:cs="Arial"/>
          <w:color w:val="111111"/>
          <w:sz w:val="24"/>
          <w:szCs w:val="24"/>
          <w:lang w:val="en-US"/>
        </w:rPr>
        <w:t xml:space="preserve">The General Optical Council is the regulator for the optical professions in the UK. The Council’s statutory role is to protect and promote the health and safety of members of the public by promoting high standards of professional education, conduct and performance among our registrants. The Council currently </w:t>
      </w:r>
      <w:r w:rsidR="00E61508" w:rsidRPr="000B80B0">
        <w:rPr>
          <w:rFonts w:ascii="Arial" w:eastAsia="Arial" w:hAnsi="Arial" w:cs="Arial"/>
          <w:color w:val="111111"/>
          <w:sz w:val="24"/>
          <w:szCs w:val="24"/>
          <w:lang w:val="en-US"/>
        </w:rPr>
        <w:t>registers</w:t>
      </w:r>
      <w:r w:rsidR="77B7CEE6" w:rsidRPr="000B80B0">
        <w:rPr>
          <w:rFonts w:ascii="Arial" w:eastAsia="Arial" w:hAnsi="Arial" w:cs="Arial"/>
          <w:color w:val="111111"/>
          <w:sz w:val="24"/>
          <w:szCs w:val="24"/>
          <w:lang w:val="en-US"/>
        </w:rPr>
        <w:t xml:space="preserve"> around 33,000 optometrists, dispensing opticians, student opticians and optical businesses</w:t>
      </w:r>
    </w:p>
    <w:p w14:paraId="177013BF" w14:textId="3D1CAB70" w:rsidR="008108A3" w:rsidRPr="00B05061" w:rsidRDefault="6FB465F9" w:rsidP="000B80B0">
      <w:pPr>
        <w:jc w:val="both"/>
        <w:rPr>
          <w:rFonts w:ascii="Arial" w:eastAsia="Arial" w:hAnsi="Arial" w:cs="Arial"/>
          <w:color w:val="111111"/>
          <w:sz w:val="24"/>
          <w:szCs w:val="24"/>
          <w:vertAlign w:val="superscript"/>
          <w:lang w:val="en-US"/>
        </w:rPr>
      </w:pPr>
      <w:r w:rsidRPr="000B80B0">
        <w:rPr>
          <w:rFonts w:ascii="Arial" w:eastAsia="Arial" w:hAnsi="Arial" w:cs="Arial"/>
          <w:color w:val="111111"/>
          <w:sz w:val="24"/>
          <w:szCs w:val="24"/>
          <w:lang w:val="en-US"/>
        </w:rPr>
        <w:t xml:space="preserve">1.2 </w:t>
      </w:r>
      <w:r w:rsidR="77B7CEE6" w:rsidRPr="000B80B0">
        <w:rPr>
          <w:rFonts w:ascii="Arial" w:eastAsia="Arial" w:hAnsi="Arial" w:cs="Arial"/>
          <w:color w:val="111111"/>
          <w:sz w:val="24"/>
          <w:szCs w:val="24"/>
          <w:lang w:val="en-US"/>
        </w:rPr>
        <w:t>This policy applies to the long-term investment of the Council reserves, and their</w:t>
      </w:r>
      <w:r w:rsidR="00B05061">
        <w:rPr>
          <w:rFonts w:ascii="Arial" w:eastAsia="Arial" w:hAnsi="Arial" w:cs="Arial"/>
          <w:color w:val="111111"/>
          <w:sz w:val="24"/>
          <w:szCs w:val="24"/>
          <w:lang w:val="en-US"/>
        </w:rPr>
        <w:t xml:space="preserve"> </w:t>
      </w:r>
      <w:r w:rsidR="77B7CEE6" w:rsidRPr="000B80B0">
        <w:rPr>
          <w:rFonts w:ascii="Arial" w:eastAsia="Arial" w:hAnsi="Arial" w:cs="Arial"/>
          <w:color w:val="111111"/>
          <w:sz w:val="24"/>
          <w:szCs w:val="24"/>
          <w:lang w:val="en-US"/>
        </w:rPr>
        <w:t>investment by external</w:t>
      </w:r>
      <w:r w:rsidR="00EE181F">
        <w:rPr>
          <w:rFonts w:ascii="Arial" w:eastAsia="Arial" w:hAnsi="Arial" w:cs="Arial"/>
          <w:color w:val="111111"/>
          <w:sz w:val="24"/>
          <w:szCs w:val="24"/>
          <w:lang w:val="en-US"/>
        </w:rPr>
        <w:t xml:space="preserve"> </w:t>
      </w:r>
      <w:r w:rsidR="77B7CEE6" w:rsidRPr="000B80B0">
        <w:rPr>
          <w:rFonts w:ascii="Arial" w:eastAsia="Arial" w:hAnsi="Arial" w:cs="Arial"/>
          <w:color w:val="111111"/>
          <w:sz w:val="24"/>
          <w:szCs w:val="24"/>
          <w:lang w:val="en-US"/>
        </w:rPr>
        <w:t>advisors.</w:t>
      </w:r>
      <w:r w:rsidR="77B7CEE6" w:rsidRPr="000B80B0">
        <w:rPr>
          <w:rFonts w:ascii="Arial" w:eastAsia="Arial" w:hAnsi="Arial" w:cs="Arial"/>
          <w:color w:val="111111"/>
          <w:sz w:val="24"/>
          <w:szCs w:val="24"/>
          <w:vertAlign w:val="superscript"/>
          <w:lang w:val="en-US"/>
        </w:rPr>
        <w:t>1</w:t>
      </w:r>
    </w:p>
    <w:p w14:paraId="7E2443CD" w14:textId="0C579808" w:rsidR="00F7426D" w:rsidRPr="00F7426D" w:rsidRDefault="6EC020E1" w:rsidP="004E2210">
      <w:pPr>
        <w:pBdr>
          <w:bottom w:val="single" w:sz="4" w:space="1" w:color="auto"/>
        </w:pBdr>
        <w:rPr>
          <w:rFonts w:ascii="Rockwell" w:hAnsi="Rockwell" w:cs="Arial"/>
          <w:color w:val="005694"/>
          <w:sz w:val="28"/>
          <w:szCs w:val="28"/>
        </w:rPr>
      </w:pPr>
      <w:r w:rsidRPr="619AF99A">
        <w:rPr>
          <w:rFonts w:ascii="Rockwell" w:hAnsi="Rockwell" w:cs="Arial"/>
          <w:color w:val="005694"/>
          <w:sz w:val="28"/>
          <w:szCs w:val="28"/>
        </w:rPr>
        <w:t xml:space="preserve">2. </w:t>
      </w:r>
      <w:r w:rsidR="6B9EB27F" w:rsidRPr="619AF99A">
        <w:rPr>
          <w:rFonts w:ascii="Rockwell" w:hAnsi="Rockwell" w:cs="Arial"/>
          <w:color w:val="005694"/>
          <w:sz w:val="28"/>
          <w:szCs w:val="28"/>
        </w:rPr>
        <w:t>Investment powers</w:t>
      </w:r>
    </w:p>
    <w:p w14:paraId="64987F3F" w14:textId="4DACC69E" w:rsidR="00911097" w:rsidRPr="0000142C" w:rsidRDefault="330C3002" w:rsidP="000B80B0">
      <w:pPr>
        <w:pStyle w:val="paragraph"/>
        <w:spacing w:before="0" w:beforeAutospacing="0" w:after="0" w:afterAutospacing="0"/>
        <w:jc w:val="both"/>
        <w:textAlignment w:val="baseline"/>
        <w:rPr>
          <w:rFonts w:ascii="Arial" w:eastAsia="Arial" w:hAnsi="Arial" w:cs="Arial"/>
          <w:color w:val="111111"/>
          <w:lang w:val="en-US"/>
        </w:rPr>
      </w:pPr>
      <w:r w:rsidRPr="000B80B0">
        <w:rPr>
          <w:rFonts w:ascii="Arial" w:hAnsi="Arial" w:cs="Arial"/>
        </w:rPr>
        <w:t xml:space="preserve">2.1 </w:t>
      </w:r>
      <w:r w:rsidR="0674FDB6" w:rsidRPr="000B80B0">
        <w:rPr>
          <w:rFonts w:ascii="Arial" w:eastAsia="Arial" w:hAnsi="Arial" w:cs="Arial"/>
          <w:color w:val="111111"/>
          <w:lang w:val="en-US"/>
        </w:rPr>
        <w:t>The trustees (</w:t>
      </w:r>
      <w:r w:rsidR="41F965F4" w:rsidRPr="000B80B0">
        <w:rPr>
          <w:rFonts w:ascii="Arial" w:eastAsia="Arial" w:hAnsi="Arial" w:cs="Arial"/>
          <w:color w:val="111111"/>
          <w:lang w:val="en-US"/>
        </w:rPr>
        <w:t>o</w:t>
      </w:r>
      <w:r w:rsidR="0674FDB6" w:rsidRPr="000B80B0">
        <w:rPr>
          <w:rFonts w:ascii="Arial" w:eastAsia="Arial" w:hAnsi="Arial" w:cs="Arial"/>
          <w:color w:val="111111"/>
          <w:lang w:val="en-US"/>
        </w:rPr>
        <w:t>ur Council members) have wide powers of investment as outlined in the Trustee Act 2000. This also includes the power to delegate responsibilities to an investment manager. The current investment managers are RBC Brewin Dolphin.</w:t>
      </w:r>
    </w:p>
    <w:p w14:paraId="5DFF6DAD" w14:textId="0353A7B1" w:rsidR="00911097" w:rsidRPr="0000142C" w:rsidRDefault="00911097" w:rsidP="000B80B0">
      <w:pPr>
        <w:pStyle w:val="paragraph"/>
        <w:spacing w:before="0" w:beforeAutospacing="0" w:after="0" w:afterAutospacing="0"/>
        <w:jc w:val="both"/>
        <w:textAlignment w:val="baseline"/>
        <w:rPr>
          <w:rFonts w:ascii="Arial" w:eastAsia="Arial" w:hAnsi="Arial" w:cs="Arial"/>
          <w:color w:val="111111"/>
          <w:lang w:val="en-US"/>
        </w:rPr>
      </w:pPr>
    </w:p>
    <w:p w14:paraId="55C621D3" w14:textId="4588D625" w:rsidR="00911097" w:rsidRPr="0000142C" w:rsidRDefault="0674FDB6" w:rsidP="000B80B0">
      <w:pPr>
        <w:pStyle w:val="paragraph"/>
        <w:spacing w:before="0" w:beforeAutospacing="0" w:after="0" w:afterAutospacing="0"/>
        <w:jc w:val="both"/>
        <w:textAlignment w:val="baseline"/>
        <w:rPr>
          <w:rFonts w:ascii="Arial" w:eastAsia="Arial" w:hAnsi="Arial" w:cs="Arial"/>
          <w:color w:val="111111"/>
          <w:lang w:val="en-US"/>
        </w:rPr>
      </w:pPr>
      <w:r w:rsidRPr="000B80B0">
        <w:rPr>
          <w:rFonts w:ascii="Arial" w:eastAsia="Arial" w:hAnsi="Arial" w:cs="Arial"/>
          <w:color w:val="111111"/>
          <w:lang w:val="en-US"/>
        </w:rPr>
        <w:t>2.2 The charity's governing document is the Opticians Act 1989 (as amended 2005).</w:t>
      </w:r>
    </w:p>
    <w:p w14:paraId="156FFBD9" w14:textId="13B77E68" w:rsidR="00911097" w:rsidRPr="0000142C" w:rsidRDefault="00911097" w:rsidP="000B80B0">
      <w:pPr>
        <w:pStyle w:val="paragraph"/>
        <w:spacing w:before="0" w:beforeAutospacing="0" w:after="0" w:afterAutospacing="0"/>
        <w:jc w:val="both"/>
        <w:textAlignment w:val="baseline"/>
        <w:rPr>
          <w:rFonts w:ascii="Arial" w:eastAsia="Arial" w:hAnsi="Arial" w:cs="Arial"/>
          <w:color w:val="111111"/>
          <w:lang w:val="en-US"/>
        </w:rPr>
      </w:pPr>
    </w:p>
    <w:p w14:paraId="0C6200A5" w14:textId="2ED792F6" w:rsidR="00911097" w:rsidRPr="0000142C" w:rsidRDefault="5F1F5AED" w:rsidP="619AF99A">
      <w:pPr>
        <w:pBdr>
          <w:bottom w:val="single" w:sz="6" w:space="1" w:color="auto"/>
        </w:pBdr>
        <w:spacing w:after="0"/>
        <w:textAlignment w:val="baseline"/>
        <w:rPr>
          <w:rFonts w:ascii="Rockwell" w:hAnsi="Rockwell"/>
          <w:color w:val="005694"/>
          <w:sz w:val="28"/>
          <w:szCs w:val="28"/>
        </w:rPr>
      </w:pPr>
      <w:r w:rsidRPr="619AF99A">
        <w:rPr>
          <w:rFonts w:ascii="Rockwell" w:hAnsi="Rockwell"/>
          <w:color w:val="005694"/>
          <w:sz w:val="28"/>
          <w:szCs w:val="28"/>
        </w:rPr>
        <w:t>3. Investment objectives</w:t>
      </w:r>
    </w:p>
    <w:p w14:paraId="75747C0D" w14:textId="6D04B5A0" w:rsidR="00911097" w:rsidRPr="0000142C" w:rsidRDefault="5F1F5AED" w:rsidP="000B80B0">
      <w:pPr>
        <w:pStyle w:val="paragraph"/>
        <w:spacing w:before="0" w:beforeAutospacing="0" w:after="0" w:afterAutospacing="0"/>
        <w:jc w:val="both"/>
        <w:textAlignment w:val="baseline"/>
        <w:rPr>
          <w:rFonts w:ascii="Arial" w:eastAsia="Arial" w:hAnsi="Arial" w:cs="Arial"/>
          <w:color w:val="111111"/>
          <w:lang w:val="en-US"/>
        </w:rPr>
      </w:pPr>
      <w:r w:rsidRPr="000B80B0">
        <w:rPr>
          <w:rFonts w:ascii="Arial" w:eastAsia="Arial" w:hAnsi="Arial" w:cs="Arial"/>
          <w:color w:val="111111"/>
          <w:lang w:val="en-US"/>
        </w:rPr>
        <w:t xml:space="preserve">3.1 The broad objective of the invested funds is to provide income and capital appreciation which, when taken together with the registration income can provide sufficient money every year to enable the GOC to meet its statutory remit. </w:t>
      </w:r>
    </w:p>
    <w:p w14:paraId="7585AC81" w14:textId="33AD576D" w:rsidR="00911097" w:rsidRPr="0000142C" w:rsidRDefault="5F1F5AED" w:rsidP="000B80B0">
      <w:pPr>
        <w:pStyle w:val="paragraph"/>
        <w:spacing w:before="0" w:beforeAutospacing="0" w:after="0" w:afterAutospacing="0"/>
        <w:jc w:val="both"/>
        <w:textAlignment w:val="baseline"/>
      </w:pPr>
      <w:r w:rsidRPr="000B80B0">
        <w:rPr>
          <w:rFonts w:ascii="Arial" w:eastAsia="Arial" w:hAnsi="Arial" w:cs="Arial"/>
          <w:color w:val="111111"/>
          <w:lang w:val="en-US"/>
        </w:rPr>
        <w:t xml:space="preserve"> </w:t>
      </w:r>
    </w:p>
    <w:p w14:paraId="636815AC" w14:textId="47CCEAF5" w:rsidR="00911097" w:rsidRPr="0000142C" w:rsidRDefault="5F1F5AED" w:rsidP="000B80B0">
      <w:pPr>
        <w:pStyle w:val="paragraph"/>
        <w:spacing w:before="0" w:beforeAutospacing="0" w:after="0" w:afterAutospacing="0"/>
        <w:jc w:val="both"/>
        <w:textAlignment w:val="baseline"/>
      </w:pPr>
      <w:r w:rsidRPr="000B80B0">
        <w:rPr>
          <w:rFonts w:ascii="Arial" w:eastAsia="Arial" w:hAnsi="Arial" w:cs="Arial"/>
          <w:color w:val="111111"/>
          <w:lang w:val="en-US"/>
        </w:rPr>
        <w:t xml:space="preserve">3.2 The primary investment objective is to enhance the value of the assets after taking account of inflation by investment in a diversified portfolio of equities, fixed income bonds, stocks and cash. </w:t>
      </w:r>
    </w:p>
    <w:p w14:paraId="50D5AF91" w14:textId="40E121FB" w:rsidR="00911097" w:rsidRPr="0000142C" w:rsidRDefault="5F1F5AED" w:rsidP="000B80B0">
      <w:pPr>
        <w:pStyle w:val="paragraph"/>
        <w:spacing w:before="0" w:beforeAutospacing="0" w:after="0" w:afterAutospacing="0"/>
        <w:jc w:val="both"/>
        <w:textAlignment w:val="baseline"/>
      </w:pPr>
      <w:r w:rsidRPr="000B80B0">
        <w:rPr>
          <w:rFonts w:ascii="Arial" w:eastAsia="Arial" w:hAnsi="Arial" w:cs="Arial"/>
          <w:color w:val="111111"/>
          <w:lang w:val="en-US"/>
        </w:rPr>
        <w:t xml:space="preserve"> </w:t>
      </w:r>
    </w:p>
    <w:p w14:paraId="0137FDFD" w14:textId="4BFBD33E" w:rsidR="00911097" w:rsidRPr="0000142C" w:rsidRDefault="5F1F5AED" w:rsidP="000B80B0">
      <w:pPr>
        <w:pStyle w:val="paragraph"/>
        <w:spacing w:before="0" w:beforeAutospacing="0" w:after="0" w:afterAutospacing="0"/>
        <w:jc w:val="both"/>
        <w:textAlignment w:val="baseline"/>
      </w:pPr>
      <w:r w:rsidRPr="000B80B0">
        <w:rPr>
          <w:rFonts w:ascii="Arial" w:eastAsia="Arial" w:hAnsi="Arial" w:cs="Arial"/>
          <w:color w:val="111111"/>
          <w:lang w:val="en-US"/>
        </w:rPr>
        <w:t xml:space="preserve">3.3 The secondary investment objective is to earn an attractive level of income from the invested portfolio which has the ability to grow over time. </w:t>
      </w:r>
    </w:p>
    <w:p w14:paraId="541CEA3C" w14:textId="73655034" w:rsidR="00911097" w:rsidRPr="0000142C" w:rsidRDefault="5F1F5AED" w:rsidP="000B80B0">
      <w:pPr>
        <w:pStyle w:val="paragraph"/>
        <w:spacing w:before="0" w:beforeAutospacing="0" w:after="0" w:afterAutospacing="0"/>
        <w:jc w:val="both"/>
        <w:textAlignment w:val="baseline"/>
      </w:pPr>
      <w:r w:rsidRPr="000B80B0">
        <w:rPr>
          <w:rFonts w:ascii="Arial" w:eastAsia="Arial" w:hAnsi="Arial" w:cs="Arial"/>
          <w:color w:val="111111"/>
          <w:lang w:val="en-US"/>
        </w:rPr>
        <w:t xml:space="preserve"> </w:t>
      </w:r>
    </w:p>
    <w:p w14:paraId="6D04C4C4" w14:textId="2D8FB220" w:rsidR="00911097" w:rsidRPr="0000142C" w:rsidRDefault="5F1F5AED" w:rsidP="000B80B0">
      <w:pPr>
        <w:pStyle w:val="paragraph"/>
        <w:spacing w:before="0" w:beforeAutospacing="0" w:after="0" w:afterAutospacing="0"/>
        <w:jc w:val="both"/>
        <w:textAlignment w:val="baseline"/>
        <w:rPr>
          <w:rFonts w:ascii="Arial" w:eastAsia="Arial" w:hAnsi="Arial" w:cs="Arial"/>
          <w:color w:val="111111"/>
          <w:lang w:val="en-US"/>
        </w:rPr>
      </w:pPr>
      <w:r w:rsidRPr="000B80B0">
        <w:rPr>
          <w:rFonts w:ascii="Arial" w:eastAsia="Arial" w:hAnsi="Arial" w:cs="Arial"/>
          <w:color w:val="111111"/>
          <w:lang w:val="en-US"/>
        </w:rPr>
        <w:t xml:space="preserve">3.4 The trustees have adopted an exclusionary screening policy as set out in paragraph eight.  </w:t>
      </w:r>
    </w:p>
    <w:p w14:paraId="5DFEC667" w14:textId="08E58EC6" w:rsidR="00911097" w:rsidRPr="0000142C" w:rsidRDefault="00911097" w:rsidP="619AF99A">
      <w:pPr>
        <w:pStyle w:val="paragraph"/>
        <w:spacing w:before="0" w:beforeAutospacing="0" w:after="0" w:afterAutospacing="0"/>
        <w:textAlignment w:val="baseline"/>
        <w:rPr>
          <w:rFonts w:ascii="Arial" w:eastAsia="Arial" w:hAnsi="Arial" w:cs="Arial"/>
          <w:color w:val="111111"/>
          <w:lang w:val="en-US"/>
        </w:rPr>
      </w:pPr>
    </w:p>
    <w:p w14:paraId="7C4DFE92" w14:textId="2D0EB6AE" w:rsidR="00911097" w:rsidRPr="006A439A" w:rsidRDefault="5F1F5AED" w:rsidP="006A439A">
      <w:pPr>
        <w:pBdr>
          <w:bottom w:val="single" w:sz="6" w:space="1" w:color="auto"/>
        </w:pBdr>
        <w:spacing w:after="0"/>
        <w:textAlignment w:val="baseline"/>
        <w:rPr>
          <w:rFonts w:ascii="Rockwell" w:hAnsi="Rockwell"/>
          <w:color w:val="005694"/>
          <w:sz w:val="28"/>
          <w:szCs w:val="28"/>
        </w:rPr>
      </w:pPr>
      <w:r w:rsidRPr="619AF99A">
        <w:rPr>
          <w:rFonts w:ascii="Rockwell" w:hAnsi="Rockwell"/>
          <w:color w:val="005694"/>
          <w:sz w:val="28"/>
          <w:szCs w:val="28"/>
        </w:rPr>
        <w:t>4. Glossary of terms</w:t>
      </w:r>
    </w:p>
    <w:p w14:paraId="50518F0E" w14:textId="02428A97" w:rsidR="002E0584" w:rsidRDefault="44EA5E60" w:rsidP="00557EF5">
      <w:pPr>
        <w:spacing w:before="240" w:after="0" w:line="240" w:lineRule="auto"/>
        <w:jc w:val="both"/>
        <w:textAlignment w:val="baseline"/>
        <w:rPr>
          <w:rFonts w:ascii="Arial" w:eastAsia="Arial" w:hAnsi="Arial" w:cs="Arial"/>
          <w:color w:val="000000" w:themeColor="text1"/>
          <w:sz w:val="24"/>
          <w:szCs w:val="24"/>
          <w:lang w:val="en-US"/>
        </w:rPr>
      </w:pPr>
      <w:r w:rsidRPr="000B80B0">
        <w:rPr>
          <w:rFonts w:ascii="Arial" w:eastAsia="Arial" w:hAnsi="Arial" w:cs="Arial"/>
          <w:color w:val="000000" w:themeColor="text1"/>
          <w:sz w:val="24"/>
          <w:szCs w:val="24"/>
          <w:lang w:val="en-US"/>
        </w:rPr>
        <w:t xml:space="preserve">4.1 </w:t>
      </w:r>
      <w:r w:rsidRPr="000B80B0">
        <w:rPr>
          <w:rFonts w:ascii="Arial" w:eastAsia="Arial" w:hAnsi="Arial" w:cs="Arial"/>
          <w:b/>
          <w:bCs/>
          <w:color w:val="000000" w:themeColor="text1"/>
          <w:sz w:val="24"/>
          <w:szCs w:val="24"/>
          <w:lang w:val="en-US"/>
        </w:rPr>
        <w:t xml:space="preserve">A1 by S&amp;P or P1 by Moody’s: </w:t>
      </w:r>
      <w:r w:rsidRPr="000B80B0">
        <w:rPr>
          <w:rFonts w:ascii="Arial" w:eastAsia="Arial" w:hAnsi="Arial" w:cs="Arial"/>
          <w:color w:val="000000" w:themeColor="text1"/>
          <w:sz w:val="24"/>
          <w:szCs w:val="24"/>
          <w:lang w:val="en-US"/>
        </w:rPr>
        <w:t>specific credit ratings for cash held. S&amp;P and Moody’s are both rating agencies.</w:t>
      </w:r>
    </w:p>
    <w:p w14:paraId="3B443116" w14:textId="71EA9B37" w:rsidR="00911097" w:rsidRPr="0000142C" w:rsidRDefault="44EA5E60" w:rsidP="00557EF5">
      <w:pPr>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 xml:space="preserve">4.2 </w:t>
      </w:r>
      <w:r w:rsidRPr="000B80B0">
        <w:rPr>
          <w:rFonts w:ascii="Arial" w:eastAsia="Arial" w:hAnsi="Arial" w:cs="Arial"/>
          <w:b/>
          <w:bCs/>
          <w:color w:val="000000" w:themeColor="text1"/>
          <w:sz w:val="24"/>
          <w:szCs w:val="24"/>
          <w:lang w:val="en-US"/>
        </w:rPr>
        <w:t xml:space="preserve">Accessible reserves: </w:t>
      </w:r>
      <w:r w:rsidRPr="000B80B0">
        <w:rPr>
          <w:rFonts w:ascii="Arial" w:eastAsia="Arial" w:hAnsi="Arial" w:cs="Arial"/>
          <w:color w:val="000000" w:themeColor="text1"/>
          <w:sz w:val="24"/>
          <w:szCs w:val="24"/>
          <w:lang w:val="en-US"/>
        </w:rPr>
        <w:t>those reserves that are readily realisable within a 'relatively short' time horizon. Typically, this excludes property and similar investments.</w:t>
      </w:r>
    </w:p>
    <w:p w14:paraId="053E68D1" w14:textId="15519E4C"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4.3</w:t>
      </w:r>
      <w:r w:rsidRPr="000B80B0">
        <w:rPr>
          <w:rFonts w:ascii="Arial" w:eastAsia="Arial" w:hAnsi="Arial" w:cs="Arial"/>
          <w:b/>
          <w:bCs/>
          <w:color w:val="000000" w:themeColor="text1"/>
          <w:sz w:val="24"/>
          <w:szCs w:val="24"/>
          <w:lang w:val="en-US"/>
        </w:rPr>
        <w:t xml:space="preserve"> Benchmark: </w:t>
      </w:r>
      <w:r w:rsidRPr="000B80B0">
        <w:rPr>
          <w:rFonts w:ascii="Arial" w:eastAsia="Arial" w:hAnsi="Arial" w:cs="Arial"/>
          <w:color w:val="000000" w:themeColor="text1"/>
          <w:sz w:val="24"/>
          <w:szCs w:val="24"/>
          <w:lang w:val="en-US"/>
        </w:rPr>
        <w:t>in investment markets, investment managers are required to show the performance of a fund relative to a measure or benchmark. This can take different forms.</w:t>
      </w:r>
      <w:r w:rsidRPr="000B80B0">
        <w:rPr>
          <w:rFonts w:ascii="Arial" w:eastAsia="Arial" w:hAnsi="Arial" w:cs="Arial"/>
          <w:color w:val="000000" w:themeColor="text1"/>
          <w:lang w:val="en-US"/>
        </w:rPr>
        <w:t xml:space="preserve"> RBC </w:t>
      </w:r>
      <w:r w:rsidRPr="000B80B0">
        <w:rPr>
          <w:rFonts w:ascii="Arial" w:eastAsia="Arial" w:hAnsi="Arial" w:cs="Arial"/>
          <w:color w:val="000000" w:themeColor="text1"/>
          <w:sz w:val="24"/>
          <w:szCs w:val="24"/>
          <w:lang w:val="en-US"/>
        </w:rPr>
        <w:t xml:space="preserve">Brewin Dolphin favour composite benchmarks which are structured of a weighted index of widely recognised market indices.  This tends to create a challenging liquid benchmark which is highly visible. Other alternatives can be put </w:t>
      </w:r>
      <w:r w:rsidRPr="000B80B0">
        <w:rPr>
          <w:rFonts w:ascii="Arial" w:eastAsia="Arial" w:hAnsi="Arial" w:cs="Arial"/>
          <w:color w:val="000000" w:themeColor="text1"/>
          <w:sz w:val="24"/>
          <w:szCs w:val="24"/>
          <w:lang w:val="en-US"/>
        </w:rPr>
        <w:lastRenderedPageBreak/>
        <w:t>forward and particularly peer group benchmarks or benchmarks relative to inflation. Debt is generally of a better quality and therefore carries a lower speculative element.</w:t>
      </w:r>
    </w:p>
    <w:p w14:paraId="59A41A56" w14:textId="32E66461"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 xml:space="preserve">4.4 </w:t>
      </w:r>
      <w:r w:rsidRPr="000B80B0">
        <w:rPr>
          <w:rFonts w:ascii="Arial" w:eastAsia="Arial" w:hAnsi="Arial" w:cs="Arial"/>
          <w:b/>
          <w:bCs/>
          <w:color w:val="000000" w:themeColor="text1"/>
          <w:sz w:val="24"/>
          <w:szCs w:val="24"/>
          <w:lang w:val="en-US"/>
        </w:rPr>
        <w:t xml:space="preserve">Diversification: </w:t>
      </w:r>
      <w:r w:rsidRPr="000B80B0">
        <w:rPr>
          <w:rFonts w:ascii="Arial" w:eastAsia="Arial" w:hAnsi="Arial" w:cs="Arial"/>
          <w:color w:val="000000" w:themeColor="text1"/>
          <w:sz w:val="24"/>
          <w:szCs w:val="24"/>
          <w:lang w:val="en-US"/>
        </w:rPr>
        <w:t>mixing assets with the aim of producing a better quality (smoother or less volatile) return.</w:t>
      </w:r>
    </w:p>
    <w:p w14:paraId="1443727A" w14:textId="21C28055"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4.5</w:t>
      </w:r>
      <w:r w:rsidRPr="000B80B0">
        <w:rPr>
          <w:rFonts w:ascii="Arial" w:eastAsia="Arial" w:hAnsi="Arial" w:cs="Arial"/>
          <w:b/>
          <w:bCs/>
          <w:color w:val="000000" w:themeColor="text1"/>
          <w:sz w:val="24"/>
          <w:szCs w:val="24"/>
          <w:lang w:val="en-US"/>
        </w:rPr>
        <w:t xml:space="preserve"> Equities: </w:t>
      </w:r>
      <w:r w:rsidRPr="000B80B0">
        <w:rPr>
          <w:rFonts w:ascii="Arial" w:eastAsia="Arial" w:hAnsi="Arial" w:cs="Arial"/>
          <w:color w:val="000000" w:themeColor="text1"/>
          <w:sz w:val="24"/>
          <w:szCs w:val="24"/>
          <w:lang w:val="en-US"/>
        </w:rPr>
        <w:t>another term for shares.</w:t>
      </w:r>
    </w:p>
    <w:p w14:paraId="56F5FE64" w14:textId="771DB561"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 xml:space="preserve">4.6 </w:t>
      </w:r>
      <w:r w:rsidRPr="000B80B0">
        <w:rPr>
          <w:rFonts w:ascii="Arial" w:eastAsia="Arial" w:hAnsi="Arial" w:cs="Arial"/>
          <w:b/>
          <w:bCs/>
          <w:color w:val="000000" w:themeColor="text1"/>
          <w:sz w:val="24"/>
          <w:szCs w:val="24"/>
          <w:lang w:val="en-US"/>
        </w:rPr>
        <w:t xml:space="preserve">Ethical screening: </w:t>
      </w:r>
      <w:r w:rsidRPr="000B80B0">
        <w:rPr>
          <w:rFonts w:ascii="Arial" w:eastAsia="Arial" w:hAnsi="Arial" w:cs="Arial"/>
          <w:color w:val="000000" w:themeColor="text1"/>
          <w:sz w:val="24"/>
          <w:szCs w:val="24"/>
          <w:lang w:val="en-US"/>
        </w:rPr>
        <w:t>this is an investment review policy to manage exposure to areas which conflict with the charity's aims and objectives.</w:t>
      </w:r>
    </w:p>
    <w:p w14:paraId="4BA12038" w14:textId="5AF9B28D"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4.7</w:t>
      </w:r>
      <w:r w:rsidRPr="000B80B0">
        <w:rPr>
          <w:rFonts w:ascii="Arial" w:eastAsia="Arial" w:hAnsi="Arial" w:cs="Arial"/>
          <w:b/>
          <w:bCs/>
          <w:color w:val="000000" w:themeColor="text1"/>
          <w:sz w:val="24"/>
          <w:szCs w:val="24"/>
          <w:lang w:val="en-US"/>
        </w:rPr>
        <w:t xml:space="preserve"> Exclusionary screening policy: </w:t>
      </w:r>
      <w:r w:rsidRPr="000B80B0">
        <w:rPr>
          <w:rFonts w:ascii="Arial" w:eastAsia="Arial" w:hAnsi="Arial" w:cs="Arial"/>
          <w:color w:val="000000" w:themeColor="text1"/>
          <w:sz w:val="24"/>
          <w:szCs w:val="24"/>
          <w:lang w:val="en-US"/>
        </w:rPr>
        <w:t>a screening policy involving avoiding certain defined areas. Sometimes also known as a negative screening policy.</w:t>
      </w:r>
    </w:p>
    <w:p w14:paraId="7762B73C" w14:textId="26C01B89"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 xml:space="preserve">4.8 </w:t>
      </w:r>
      <w:r w:rsidRPr="000B80B0">
        <w:rPr>
          <w:rFonts w:ascii="Arial" w:eastAsia="Arial" w:hAnsi="Arial" w:cs="Arial"/>
          <w:b/>
          <w:bCs/>
          <w:color w:val="000000" w:themeColor="text1"/>
          <w:sz w:val="24"/>
          <w:szCs w:val="24"/>
          <w:lang w:val="en-US"/>
        </w:rPr>
        <w:t xml:space="preserve">Fixed income: </w:t>
      </w:r>
      <w:r w:rsidRPr="000B80B0">
        <w:rPr>
          <w:rFonts w:ascii="Arial" w:eastAsia="Arial" w:hAnsi="Arial" w:cs="Arial"/>
          <w:color w:val="000000" w:themeColor="text1"/>
          <w:sz w:val="24"/>
          <w:szCs w:val="24"/>
          <w:lang w:val="en-US"/>
        </w:rPr>
        <w:t>borrowings, such as government bonds (in the UK, gilts), corporate borrowings (either investment grade or other).</w:t>
      </w:r>
    </w:p>
    <w:p w14:paraId="4D09E2D8" w14:textId="4D2EBF30"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 xml:space="preserve">4.9 </w:t>
      </w:r>
      <w:r w:rsidRPr="000B80B0">
        <w:rPr>
          <w:rFonts w:ascii="Arial" w:eastAsia="Arial" w:hAnsi="Arial" w:cs="Arial"/>
          <w:b/>
          <w:bCs/>
          <w:color w:val="000000" w:themeColor="text1"/>
          <w:sz w:val="24"/>
          <w:szCs w:val="24"/>
          <w:lang w:val="en-US"/>
        </w:rPr>
        <w:t>Index:</w:t>
      </w:r>
      <w:r w:rsidRPr="000B80B0">
        <w:rPr>
          <w:rFonts w:ascii="Arial" w:eastAsia="Arial" w:hAnsi="Arial" w:cs="Arial"/>
          <w:color w:val="000000" w:themeColor="text1"/>
          <w:sz w:val="24"/>
          <w:szCs w:val="24"/>
          <w:lang w:val="en-US"/>
        </w:rPr>
        <w:t xml:space="preserve"> included to provide a comparator as to how the different sections within the fund might be performing.</w:t>
      </w:r>
    </w:p>
    <w:p w14:paraId="55075E86" w14:textId="5FC70AA8"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4.10</w:t>
      </w:r>
      <w:r w:rsidRPr="000B80B0">
        <w:rPr>
          <w:rFonts w:ascii="Arial" w:eastAsia="Arial" w:hAnsi="Arial" w:cs="Arial"/>
          <w:b/>
          <w:bCs/>
          <w:color w:val="000000" w:themeColor="text1"/>
          <w:sz w:val="24"/>
          <w:szCs w:val="24"/>
          <w:lang w:val="en-US"/>
        </w:rPr>
        <w:t xml:space="preserve"> Investment grade:</w:t>
      </w:r>
      <w:r w:rsidRPr="000B80B0">
        <w:rPr>
          <w:rFonts w:ascii="Arial" w:eastAsia="Arial" w:hAnsi="Arial" w:cs="Arial"/>
          <w:color w:val="000000" w:themeColor="text1"/>
          <w:sz w:val="24"/>
          <w:szCs w:val="24"/>
          <w:lang w:val="en-US"/>
        </w:rPr>
        <w:t xml:space="preserve"> fixed income investments are categorised according to the risk of default (missing either interest or capital repayments). One of the major divisions is between those deemed appropriate for investment (investment grade) and those that fall below this threshold.</w:t>
      </w:r>
    </w:p>
    <w:p w14:paraId="12860151" w14:textId="277A1EB0"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4.11</w:t>
      </w:r>
      <w:r w:rsidRPr="000B80B0">
        <w:rPr>
          <w:rFonts w:ascii="Arial" w:eastAsia="Arial" w:hAnsi="Arial" w:cs="Arial"/>
          <w:b/>
          <w:bCs/>
          <w:color w:val="000000" w:themeColor="text1"/>
          <w:sz w:val="24"/>
          <w:szCs w:val="24"/>
          <w:lang w:val="en-US"/>
        </w:rPr>
        <w:t xml:space="preserve"> Liabilities:</w:t>
      </w:r>
      <w:r w:rsidRPr="000B80B0">
        <w:rPr>
          <w:rFonts w:ascii="Arial" w:eastAsia="Arial" w:hAnsi="Arial" w:cs="Arial"/>
          <w:color w:val="000000" w:themeColor="text1"/>
          <w:sz w:val="24"/>
          <w:szCs w:val="24"/>
          <w:lang w:val="en-US"/>
        </w:rPr>
        <w:t xml:space="preserve"> the charity’s or Council's committed expenditure.</w:t>
      </w:r>
    </w:p>
    <w:p w14:paraId="1B921798" w14:textId="443BF58A"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4.12</w:t>
      </w:r>
      <w:r w:rsidRPr="000B80B0">
        <w:rPr>
          <w:rFonts w:ascii="Arial" w:eastAsia="Arial" w:hAnsi="Arial" w:cs="Arial"/>
          <w:b/>
          <w:bCs/>
          <w:color w:val="000000" w:themeColor="text1"/>
          <w:sz w:val="24"/>
          <w:szCs w:val="24"/>
          <w:lang w:val="en-US"/>
        </w:rPr>
        <w:t xml:space="preserve"> Prohibited assets:</w:t>
      </w:r>
      <w:r w:rsidRPr="000B80B0">
        <w:rPr>
          <w:rFonts w:ascii="Arial" w:eastAsia="Arial" w:hAnsi="Arial" w:cs="Arial"/>
          <w:color w:val="000000" w:themeColor="text1"/>
          <w:sz w:val="24"/>
          <w:szCs w:val="24"/>
          <w:lang w:val="en-US"/>
        </w:rPr>
        <w:t xml:space="preserve"> investments perceived to be carrying a significantly higher level of risk than is available from more traditional asset classes.</w:t>
      </w:r>
    </w:p>
    <w:p w14:paraId="4815BA1B" w14:textId="5F11E94F" w:rsidR="00911097" w:rsidRPr="0000142C" w:rsidRDefault="44EA5E60" w:rsidP="00557EF5">
      <w:pPr>
        <w:widowControl w:val="0"/>
        <w:spacing w:before="240" w:after="0" w:line="240" w:lineRule="auto"/>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4.13</w:t>
      </w:r>
      <w:r w:rsidRPr="000B80B0">
        <w:rPr>
          <w:rFonts w:ascii="Arial" w:eastAsia="Arial" w:hAnsi="Arial" w:cs="Arial"/>
          <w:b/>
          <w:bCs/>
          <w:color w:val="000000" w:themeColor="text1"/>
          <w:sz w:val="24"/>
          <w:szCs w:val="24"/>
          <w:lang w:val="en-US"/>
        </w:rPr>
        <w:t xml:space="preserve"> Real assets:</w:t>
      </w:r>
      <w:r w:rsidRPr="000B80B0">
        <w:rPr>
          <w:rFonts w:ascii="Arial" w:eastAsia="Arial" w:hAnsi="Arial" w:cs="Arial"/>
          <w:color w:val="000000" w:themeColor="text1"/>
          <w:sz w:val="24"/>
          <w:szCs w:val="24"/>
          <w:lang w:val="en-US"/>
        </w:rPr>
        <w:t xml:space="preserve"> typically, these are assets providing a real return. Over the longer term, they tend to provide a better level of return, and have a good record of producing returns above the level of inflation but over the shorter term they can be volatile. Equities, property and certain alternatives are all classified as real assets.</w:t>
      </w:r>
    </w:p>
    <w:p w14:paraId="79005FF0" w14:textId="7E881A5B" w:rsidR="00911097" w:rsidRPr="0000142C" w:rsidRDefault="44EA5E60" w:rsidP="00557EF5">
      <w:pPr>
        <w:widowControl w:val="0"/>
        <w:tabs>
          <w:tab w:val="left" w:pos="804"/>
          <w:tab w:val="left" w:pos="805"/>
        </w:tabs>
        <w:spacing w:before="240" w:after="0" w:line="240" w:lineRule="auto"/>
        <w:ind w:right="-46"/>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4.14</w:t>
      </w:r>
      <w:r w:rsidRPr="000B80B0">
        <w:rPr>
          <w:rFonts w:ascii="Arial" w:eastAsia="Arial" w:hAnsi="Arial" w:cs="Arial"/>
          <w:b/>
          <w:bCs/>
          <w:color w:val="000000" w:themeColor="text1"/>
          <w:sz w:val="24"/>
          <w:szCs w:val="24"/>
          <w:lang w:val="en-US"/>
        </w:rPr>
        <w:t xml:space="preserve"> Real value:</w:t>
      </w:r>
      <w:r w:rsidRPr="000B80B0">
        <w:rPr>
          <w:rFonts w:ascii="Arial" w:eastAsia="Arial" w:hAnsi="Arial" w:cs="Arial"/>
          <w:color w:val="000000" w:themeColor="text1"/>
          <w:sz w:val="24"/>
          <w:szCs w:val="24"/>
          <w:lang w:val="en-US"/>
        </w:rPr>
        <w:t xml:space="preserve"> the value after adjusting for the impact of inflation.</w:t>
      </w:r>
    </w:p>
    <w:p w14:paraId="13849C30" w14:textId="52BD0589" w:rsidR="00911097" w:rsidRPr="0000142C" w:rsidRDefault="44EA5E60" w:rsidP="00557EF5">
      <w:pPr>
        <w:widowControl w:val="0"/>
        <w:tabs>
          <w:tab w:val="left" w:pos="804"/>
          <w:tab w:val="left" w:pos="805"/>
        </w:tabs>
        <w:spacing w:before="240" w:after="0" w:line="240" w:lineRule="auto"/>
        <w:ind w:right="-46"/>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 xml:space="preserve">4.15 </w:t>
      </w:r>
      <w:r w:rsidRPr="000B80B0">
        <w:rPr>
          <w:rFonts w:ascii="Arial" w:eastAsia="Arial" w:hAnsi="Arial" w:cs="Arial"/>
          <w:b/>
          <w:bCs/>
          <w:color w:val="000000" w:themeColor="text1"/>
          <w:sz w:val="24"/>
          <w:szCs w:val="24"/>
          <w:lang w:val="en-US"/>
        </w:rPr>
        <w:t>Risk:</w:t>
      </w:r>
      <w:r w:rsidRPr="000B80B0">
        <w:rPr>
          <w:rFonts w:ascii="Arial" w:eastAsia="Arial" w:hAnsi="Arial" w:cs="Arial"/>
          <w:color w:val="000000" w:themeColor="text1"/>
          <w:sz w:val="24"/>
          <w:szCs w:val="24"/>
          <w:lang w:val="en-US"/>
        </w:rPr>
        <w:t xml:space="preserve"> the variability of returns.</w:t>
      </w:r>
    </w:p>
    <w:p w14:paraId="5B68E6AB" w14:textId="4DB04606" w:rsidR="00911097" w:rsidRPr="0000142C" w:rsidRDefault="44EA5E60" w:rsidP="00557EF5">
      <w:pPr>
        <w:widowControl w:val="0"/>
        <w:tabs>
          <w:tab w:val="left" w:pos="804"/>
          <w:tab w:val="left" w:pos="805"/>
        </w:tabs>
        <w:spacing w:before="240" w:after="0" w:line="240" w:lineRule="auto"/>
        <w:ind w:right="-46"/>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4.16</w:t>
      </w:r>
      <w:r w:rsidRPr="000B80B0">
        <w:rPr>
          <w:rFonts w:ascii="Arial" w:eastAsia="Arial" w:hAnsi="Arial" w:cs="Arial"/>
          <w:b/>
          <w:bCs/>
          <w:color w:val="000000" w:themeColor="text1"/>
          <w:sz w:val="24"/>
          <w:szCs w:val="24"/>
          <w:lang w:val="en-US"/>
        </w:rPr>
        <w:t xml:space="preserve"> Trustees:</w:t>
      </w:r>
      <w:r w:rsidRPr="000B80B0">
        <w:rPr>
          <w:rFonts w:ascii="Arial" w:eastAsia="Arial" w:hAnsi="Arial" w:cs="Arial"/>
          <w:color w:val="000000" w:themeColor="text1"/>
          <w:sz w:val="24"/>
          <w:szCs w:val="24"/>
          <w:lang w:val="en-US"/>
        </w:rPr>
        <w:t xml:space="preserve"> as defined in the Trustee Act 2000. Members of the GOC’s Council.</w:t>
      </w:r>
    </w:p>
    <w:p w14:paraId="36DC8539" w14:textId="5784C04B" w:rsidR="00911097" w:rsidRPr="0000142C" w:rsidRDefault="44EA5E60" w:rsidP="00557EF5">
      <w:pPr>
        <w:widowControl w:val="0"/>
        <w:tabs>
          <w:tab w:val="left" w:pos="804"/>
          <w:tab w:val="left" w:pos="805"/>
        </w:tabs>
        <w:spacing w:before="240" w:after="0" w:line="240" w:lineRule="auto"/>
        <w:ind w:right="-46"/>
        <w:jc w:val="both"/>
        <w:textAlignment w:val="baseline"/>
        <w:rPr>
          <w:rFonts w:ascii="Arial" w:eastAsia="Arial" w:hAnsi="Arial" w:cs="Arial"/>
          <w:color w:val="000000" w:themeColor="text1"/>
          <w:sz w:val="24"/>
          <w:szCs w:val="24"/>
        </w:rPr>
      </w:pPr>
      <w:r w:rsidRPr="000B80B0">
        <w:rPr>
          <w:rFonts w:ascii="Arial" w:eastAsia="Arial" w:hAnsi="Arial" w:cs="Arial"/>
          <w:color w:val="000000" w:themeColor="text1"/>
          <w:sz w:val="24"/>
          <w:szCs w:val="24"/>
          <w:lang w:val="en-US"/>
        </w:rPr>
        <w:t>4.17</w:t>
      </w:r>
      <w:r w:rsidRPr="000B80B0">
        <w:rPr>
          <w:rFonts w:ascii="Arial" w:eastAsia="Arial" w:hAnsi="Arial" w:cs="Arial"/>
          <w:b/>
          <w:bCs/>
          <w:color w:val="000000" w:themeColor="text1"/>
          <w:sz w:val="24"/>
          <w:szCs w:val="24"/>
          <w:lang w:val="en-US"/>
        </w:rPr>
        <w:t xml:space="preserve"> Volatility:</w:t>
      </w:r>
      <w:r w:rsidRPr="000B80B0">
        <w:rPr>
          <w:rFonts w:ascii="Arial" w:eastAsia="Arial" w:hAnsi="Arial" w:cs="Arial"/>
          <w:color w:val="000000" w:themeColor="text1"/>
          <w:sz w:val="24"/>
          <w:szCs w:val="24"/>
          <w:lang w:val="en-US"/>
        </w:rPr>
        <w:t xml:space="preserve"> this definition can be substituted for risk and refers to the variability of returns.</w:t>
      </w:r>
    </w:p>
    <w:p w14:paraId="46EB8024" w14:textId="2A8A84AC" w:rsidR="00911097" w:rsidRDefault="44EA5E60" w:rsidP="00557EF5">
      <w:pPr>
        <w:widowControl w:val="0"/>
        <w:tabs>
          <w:tab w:val="left" w:pos="804"/>
          <w:tab w:val="left" w:pos="805"/>
        </w:tabs>
        <w:spacing w:before="240" w:after="0" w:line="240" w:lineRule="auto"/>
        <w:ind w:right="-46"/>
        <w:jc w:val="both"/>
        <w:textAlignment w:val="baseline"/>
        <w:rPr>
          <w:rFonts w:ascii="Arial" w:eastAsia="Arial" w:hAnsi="Arial" w:cs="Arial"/>
          <w:color w:val="000000" w:themeColor="text1"/>
          <w:sz w:val="24"/>
          <w:szCs w:val="24"/>
          <w:lang w:val="en-US"/>
        </w:rPr>
      </w:pPr>
      <w:r w:rsidRPr="000B80B0">
        <w:rPr>
          <w:rFonts w:ascii="Arial" w:eastAsia="Arial" w:hAnsi="Arial" w:cs="Arial"/>
          <w:color w:val="000000" w:themeColor="text1"/>
          <w:sz w:val="24"/>
          <w:szCs w:val="24"/>
          <w:lang w:val="en-US"/>
        </w:rPr>
        <w:t>4.18</w:t>
      </w:r>
      <w:r w:rsidRPr="000B80B0">
        <w:rPr>
          <w:rFonts w:ascii="Arial" w:eastAsia="Arial" w:hAnsi="Arial" w:cs="Arial"/>
          <w:b/>
          <w:bCs/>
          <w:color w:val="000000" w:themeColor="text1"/>
          <w:sz w:val="24"/>
          <w:szCs w:val="24"/>
          <w:lang w:val="en-US"/>
        </w:rPr>
        <w:t xml:space="preserve"> Wide powers of investment:</w:t>
      </w:r>
      <w:r w:rsidRPr="000B80B0">
        <w:rPr>
          <w:rFonts w:ascii="Arial" w:eastAsia="Arial" w:hAnsi="Arial" w:cs="Arial"/>
          <w:color w:val="000000" w:themeColor="text1"/>
          <w:sz w:val="24"/>
          <w:szCs w:val="24"/>
          <w:lang w:val="en-US"/>
        </w:rPr>
        <w:t xml:space="preserve"> powers granted to RBC Brewin Dolphin.</w:t>
      </w:r>
    </w:p>
    <w:p w14:paraId="6E77FBF0" w14:textId="77777777" w:rsidR="002E0584" w:rsidRPr="0000142C" w:rsidRDefault="002E0584" w:rsidP="006A439A">
      <w:pPr>
        <w:widowControl w:val="0"/>
        <w:tabs>
          <w:tab w:val="left" w:pos="804"/>
          <w:tab w:val="left" w:pos="805"/>
        </w:tabs>
        <w:spacing w:after="0" w:line="240" w:lineRule="auto"/>
        <w:ind w:right="-46"/>
        <w:jc w:val="both"/>
        <w:textAlignment w:val="baseline"/>
        <w:rPr>
          <w:rFonts w:ascii="Arial" w:eastAsia="Arial" w:hAnsi="Arial" w:cs="Arial"/>
          <w:color w:val="000000" w:themeColor="text1"/>
          <w:sz w:val="24"/>
          <w:szCs w:val="24"/>
        </w:rPr>
      </w:pPr>
    </w:p>
    <w:p w14:paraId="77803590" w14:textId="1163E0EA" w:rsidR="00911097" w:rsidRPr="0000142C" w:rsidRDefault="5D899D32" w:rsidP="006A439A">
      <w:pPr>
        <w:pBdr>
          <w:bottom w:val="single" w:sz="6" w:space="1" w:color="auto"/>
        </w:pBdr>
        <w:spacing w:after="0"/>
        <w:ind w:right="-46"/>
        <w:jc w:val="both"/>
        <w:textAlignment w:val="baseline"/>
        <w:rPr>
          <w:rFonts w:ascii="Rockwell" w:hAnsi="Rockwell"/>
          <w:color w:val="005694"/>
          <w:sz w:val="28"/>
          <w:szCs w:val="28"/>
        </w:rPr>
      </w:pPr>
      <w:r w:rsidRPr="619AF99A">
        <w:rPr>
          <w:rFonts w:ascii="Rockwell" w:hAnsi="Rockwell"/>
          <w:color w:val="005694"/>
          <w:sz w:val="28"/>
          <w:szCs w:val="28"/>
        </w:rPr>
        <w:t>5</w:t>
      </w:r>
      <w:r w:rsidR="2030CFC1" w:rsidRPr="619AF99A">
        <w:rPr>
          <w:rFonts w:ascii="Rockwell" w:hAnsi="Rockwell"/>
          <w:color w:val="005694"/>
          <w:sz w:val="28"/>
          <w:szCs w:val="28"/>
        </w:rPr>
        <w:t xml:space="preserve">. </w:t>
      </w:r>
      <w:r w:rsidR="3EC8ADB7" w:rsidRPr="619AF99A">
        <w:rPr>
          <w:rFonts w:ascii="Rockwell" w:hAnsi="Rockwell"/>
          <w:color w:val="005694"/>
          <w:sz w:val="28"/>
          <w:szCs w:val="28"/>
        </w:rPr>
        <w:t>Attitude to risk</w:t>
      </w:r>
    </w:p>
    <w:p w14:paraId="2014621E" w14:textId="7721C728" w:rsidR="00911097" w:rsidRPr="0000142C" w:rsidRDefault="661A9D09" w:rsidP="006A439A">
      <w:pPr>
        <w:widowControl w:val="0"/>
        <w:tabs>
          <w:tab w:val="left" w:pos="804"/>
          <w:tab w:val="left" w:pos="805"/>
        </w:tabs>
        <w:spacing w:after="0" w:line="276" w:lineRule="auto"/>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5.1 </w:t>
      </w:r>
      <w:r w:rsidR="3EC8ADB7" w:rsidRPr="619AF99A">
        <w:rPr>
          <w:rFonts w:ascii="Arial" w:eastAsia="Arial" w:hAnsi="Arial" w:cs="Arial"/>
          <w:color w:val="000000" w:themeColor="text1"/>
          <w:sz w:val="24"/>
          <w:szCs w:val="24"/>
          <w:lang w:val="en-US"/>
        </w:rPr>
        <w:t xml:space="preserve">The trustees rely on investments to help fund activities. The key risk to the long-term sustainability of the GOC is inflation, and the assets should be invested to mitigate this longer-term impact. The trustees understand that this is likely to mean investment will have an emphasis on real assets and that the capital value may fluctuate. </w:t>
      </w:r>
    </w:p>
    <w:p w14:paraId="2BC27E5F" w14:textId="2633DBA3" w:rsidR="00911097" w:rsidRPr="0000142C" w:rsidRDefault="3EC8ADB7" w:rsidP="006A439A">
      <w:pPr>
        <w:widowControl w:val="0"/>
        <w:tabs>
          <w:tab w:val="left" w:pos="804"/>
          <w:tab w:val="left" w:pos="805"/>
        </w:tabs>
        <w:spacing w:after="0" w:line="276" w:lineRule="auto"/>
        <w:ind w:right="-46"/>
        <w:jc w:val="both"/>
        <w:textAlignment w:val="baseline"/>
      </w:pPr>
      <w:r w:rsidRPr="619AF99A">
        <w:rPr>
          <w:rFonts w:ascii="Arial" w:eastAsia="Arial" w:hAnsi="Arial" w:cs="Arial"/>
          <w:color w:val="000000" w:themeColor="text1"/>
          <w:sz w:val="24"/>
          <w:szCs w:val="24"/>
          <w:lang w:val="en-US"/>
        </w:rPr>
        <w:lastRenderedPageBreak/>
        <w:t xml:space="preserve"> </w:t>
      </w:r>
      <w:r w:rsidR="7A994D8A" w:rsidRPr="619AF99A">
        <w:rPr>
          <w:rFonts w:ascii="Arial" w:eastAsia="Arial" w:hAnsi="Arial" w:cs="Arial"/>
          <w:color w:val="000000" w:themeColor="text1"/>
          <w:sz w:val="24"/>
          <w:szCs w:val="24"/>
          <w:lang w:val="en-US"/>
        </w:rPr>
        <w:t xml:space="preserve">5.2 </w:t>
      </w:r>
      <w:r w:rsidRPr="619AF99A">
        <w:rPr>
          <w:rFonts w:ascii="Arial" w:eastAsia="Arial" w:hAnsi="Arial" w:cs="Arial"/>
          <w:color w:val="000000" w:themeColor="text1"/>
          <w:sz w:val="24"/>
          <w:szCs w:val="24"/>
          <w:lang w:val="en-US"/>
        </w:rPr>
        <w:t xml:space="preserve">The trustees will tolerate volatility in the capital value of the portfolio, in line with the GOC risk appetite statement, as long as the charity is meeting its short-term commitments through either income and working capital or, if necessary, the liquidation of capital assets. </w:t>
      </w:r>
    </w:p>
    <w:p w14:paraId="7858D193" w14:textId="098D9385" w:rsidR="00911097" w:rsidRDefault="23DE0222" w:rsidP="006A439A">
      <w:pPr>
        <w:widowControl w:val="0"/>
        <w:tabs>
          <w:tab w:val="left" w:pos="804"/>
          <w:tab w:val="left" w:pos="805"/>
        </w:tabs>
        <w:spacing w:after="0" w:line="276" w:lineRule="auto"/>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5.3 </w:t>
      </w:r>
      <w:r w:rsidR="3EC8ADB7" w:rsidRPr="619AF99A">
        <w:rPr>
          <w:rFonts w:ascii="Arial" w:eastAsia="Arial" w:hAnsi="Arial" w:cs="Arial"/>
          <w:color w:val="000000" w:themeColor="text1"/>
          <w:sz w:val="24"/>
          <w:szCs w:val="24"/>
          <w:lang w:val="en-US"/>
        </w:rPr>
        <w:t>The trustees consider their appetite for risk in investing activities is moderate.</w:t>
      </w:r>
    </w:p>
    <w:p w14:paraId="2010E742" w14:textId="77777777" w:rsidR="002E0584" w:rsidRPr="0000142C" w:rsidRDefault="002E0584" w:rsidP="006A439A">
      <w:pPr>
        <w:widowControl w:val="0"/>
        <w:tabs>
          <w:tab w:val="left" w:pos="804"/>
          <w:tab w:val="left" w:pos="805"/>
        </w:tabs>
        <w:spacing w:after="0" w:line="276" w:lineRule="auto"/>
        <w:ind w:right="-46"/>
        <w:jc w:val="both"/>
        <w:textAlignment w:val="baseline"/>
      </w:pPr>
    </w:p>
    <w:p w14:paraId="3A16022F" w14:textId="52536EEE" w:rsidR="00911097" w:rsidRPr="0000142C" w:rsidRDefault="2DB13E68" w:rsidP="006A439A">
      <w:pPr>
        <w:widowControl w:val="0"/>
        <w:spacing w:after="0"/>
        <w:ind w:right="-46"/>
        <w:jc w:val="both"/>
        <w:textAlignment w:val="baseline"/>
        <w:rPr>
          <w:rFonts w:ascii="Arial" w:eastAsia="Arial" w:hAnsi="Arial" w:cs="Arial"/>
          <w:color w:val="111111"/>
          <w:sz w:val="24"/>
          <w:szCs w:val="24"/>
          <w:lang w:val="en-US"/>
        </w:rPr>
      </w:pPr>
      <w:r w:rsidRPr="619AF99A">
        <w:rPr>
          <w:rFonts w:ascii="Arial" w:eastAsia="Arial" w:hAnsi="Arial" w:cs="Arial"/>
          <w:b/>
          <w:bCs/>
          <w:color w:val="111111"/>
          <w:sz w:val="24"/>
          <w:szCs w:val="24"/>
          <w:lang w:val="en-US"/>
        </w:rPr>
        <w:t>Assets</w:t>
      </w:r>
    </w:p>
    <w:p w14:paraId="39232FF7" w14:textId="7DBD5867" w:rsidR="00911097" w:rsidRPr="0000142C" w:rsidRDefault="4EB9B37D" w:rsidP="006A439A">
      <w:pPr>
        <w:widowControl w:val="0"/>
        <w:tabs>
          <w:tab w:val="left" w:pos="804"/>
          <w:tab w:val="left" w:pos="805"/>
        </w:tabs>
        <w:spacing w:before="41" w:after="0" w:line="276" w:lineRule="auto"/>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5.4 </w:t>
      </w:r>
      <w:r w:rsidR="2DB13E68" w:rsidRPr="619AF99A">
        <w:rPr>
          <w:rFonts w:ascii="Arial" w:eastAsia="Arial" w:hAnsi="Arial" w:cs="Arial"/>
          <w:color w:val="000000" w:themeColor="text1"/>
          <w:sz w:val="24"/>
          <w:szCs w:val="24"/>
          <w:lang w:val="en-US"/>
        </w:rPr>
        <w:t>The GOC’s assets can be invested widely and should be diversified by asset class, by manager and by security.</w:t>
      </w:r>
    </w:p>
    <w:p w14:paraId="4BA5AEE1" w14:textId="44847405" w:rsidR="00911097" w:rsidRPr="0000142C" w:rsidRDefault="58C5ABE7" w:rsidP="006A439A">
      <w:pPr>
        <w:widowControl w:val="0"/>
        <w:spacing w:before="7" w:after="0"/>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5.5 </w:t>
      </w:r>
      <w:r w:rsidR="2DB13E68" w:rsidRPr="619AF99A">
        <w:rPr>
          <w:rFonts w:ascii="Arial" w:eastAsia="Arial" w:hAnsi="Arial" w:cs="Arial"/>
          <w:color w:val="000000" w:themeColor="text1"/>
          <w:sz w:val="24"/>
          <w:szCs w:val="24"/>
          <w:lang w:val="en-US"/>
        </w:rPr>
        <w:t>The portfolio may be invested in fixed interest, UK and overseas equities, property, private equity and any other asset that is deemed suitable.</w:t>
      </w:r>
    </w:p>
    <w:p w14:paraId="35E48D8F" w14:textId="65C43097" w:rsidR="00911097" w:rsidRPr="0000142C" w:rsidRDefault="5C56D77B" w:rsidP="006A439A">
      <w:pPr>
        <w:widowControl w:val="0"/>
        <w:spacing w:before="11" w:after="0"/>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5.6 </w:t>
      </w:r>
      <w:r w:rsidR="2DB13E68" w:rsidRPr="619AF99A">
        <w:rPr>
          <w:rFonts w:ascii="Arial" w:eastAsia="Arial" w:hAnsi="Arial" w:cs="Arial"/>
          <w:color w:val="000000" w:themeColor="text1"/>
          <w:sz w:val="24"/>
          <w:szCs w:val="24"/>
          <w:lang w:val="en-US"/>
        </w:rPr>
        <w:t>The following asset types are prohibited:</w:t>
      </w:r>
    </w:p>
    <w:p w14:paraId="64079C3D" w14:textId="6D82CD79" w:rsidR="00911097" w:rsidRPr="0000142C" w:rsidRDefault="2DB13E68" w:rsidP="006A439A">
      <w:pPr>
        <w:pStyle w:val="ListParagraph"/>
        <w:widowControl w:val="0"/>
        <w:numPr>
          <w:ilvl w:val="0"/>
          <w:numId w:val="1"/>
        </w:numPr>
        <w:tabs>
          <w:tab w:val="left" w:pos="1371"/>
          <w:tab w:val="left" w:pos="1372"/>
        </w:tabs>
        <w:spacing w:before="99" w:after="0"/>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purchasing securities on margin.</w:t>
      </w:r>
    </w:p>
    <w:p w14:paraId="5504239C" w14:textId="3D6EB6A7" w:rsidR="00911097" w:rsidRPr="0000142C" w:rsidRDefault="2DB13E68" w:rsidP="006A439A">
      <w:pPr>
        <w:pStyle w:val="ListParagraph"/>
        <w:widowControl w:val="0"/>
        <w:numPr>
          <w:ilvl w:val="0"/>
          <w:numId w:val="1"/>
        </w:numPr>
        <w:tabs>
          <w:tab w:val="left" w:pos="1371"/>
          <w:tab w:val="left" w:pos="1372"/>
        </w:tabs>
        <w:spacing w:before="51" w:after="0"/>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futures/commodity contracts.</w:t>
      </w:r>
    </w:p>
    <w:p w14:paraId="7B8412D0" w14:textId="3604C4E7" w:rsidR="00911097" w:rsidRPr="0000142C" w:rsidRDefault="2DB13E68" w:rsidP="006A439A">
      <w:pPr>
        <w:pStyle w:val="ListParagraph"/>
        <w:widowControl w:val="0"/>
        <w:numPr>
          <w:ilvl w:val="0"/>
          <w:numId w:val="1"/>
        </w:numPr>
        <w:tabs>
          <w:tab w:val="left" w:pos="1371"/>
          <w:tab w:val="left" w:pos="1372"/>
        </w:tabs>
        <w:spacing w:before="57" w:after="0"/>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short sales.</w:t>
      </w:r>
    </w:p>
    <w:p w14:paraId="735506CF" w14:textId="3D0B8BEE" w:rsidR="00911097" w:rsidRPr="0000142C" w:rsidRDefault="2DB13E68" w:rsidP="006A439A">
      <w:pPr>
        <w:pStyle w:val="ListParagraph"/>
        <w:widowControl w:val="0"/>
        <w:numPr>
          <w:ilvl w:val="0"/>
          <w:numId w:val="1"/>
        </w:numPr>
        <w:tabs>
          <w:tab w:val="left" w:pos="1371"/>
          <w:tab w:val="left" w:pos="1372"/>
        </w:tabs>
        <w:spacing w:before="49" w:after="0"/>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leveraged derivative securities.</w:t>
      </w:r>
    </w:p>
    <w:p w14:paraId="6B29E7A4" w14:textId="7151A0A9" w:rsidR="00911097" w:rsidRPr="0000142C" w:rsidRDefault="2DB13E68" w:rsidP="006A439A">
      <w:pPr>
        <w:pStyle w:val="ListParagraph"/>
        <w:widowControl w:val="0"/>
        <w:numPr>
          <w:ilvl w:val="0"/>
          <w:numId w:val="1"/>
        </w:numPr>
        <w:tabs>
          <w:tab w:val="left" w:pos="1371"/>
          <w:tab w:val="left" w:pos="1372"/>
        </w:tabs>
        <w:spacing w:before="52" w:after="0"/>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speculative derivatives; and</w:t>
      </w:r>
    </w:p>
    <w:p w14:paraId="4ED7FEF0" w14:textId="79EE7B96" w:rsidR="002E0584" w:rsidRPr="002E0584" w:rsidRDefault="2DB13E68" w:rsidP="006A439A">
      <w:pPr>
        <w:pStyle w:val="ListParagraph"/>
        <w:widowControl w:val="0"/>
        <w:numPr>
          <w:ilvl w:val="0"/>
          <w:numId w:val="1"/>
        </w:numPr>
        <w:tabs>
          <w:tab w:val="left" w:pos="1371"/>
          <w:tab w:val="left" w:pos="1372"/>
        </w:tabs>
        <w:spacing w:before="52" w:after="0"/>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other complex financial instruments.</w:t>
      </w:r>
    </w:p>
    <w:p w14:paraId="7B41F6A4" w14:textId="02387A20" w:rsidR="00911097" w:rsidRPr="0000142C" w:rsidRDefault="5EE029A7" w:rsidP="006A439A">
      <w:pPr>
        <w:widowControl w:val="0"/>
        <w:tabs>
          <w:tab w:val="left" w:pos="1371"/>
          <w:tab w:val="left" w:pos="1372"/>
        </w:tabs>
        <w:spacing w:before="49" w:after="0"/>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5.7 </w:t>
      </w:r>
      <w:r w:rsidR="2DB13E68" w:rsidRPr="619AF99A">
        <w:rPr>
          <w:rFonts w:ascii="Arial" w:eastAsia="Arial" w:hAnsi="Arial" w:cs="Arial"/>
          <w:color w:val="000000" w:themeColor="text1"/>
          <w:sz w:val="24"/>
          <w:szCs w:val="24"/>
          <w:lang w:val="en-US"/>
        </w:rPr>
        <w:t>The investment manager will be instructed to invest the funds with a “Moderate Risk” classification. For current arrangements, with RBC Brewin Dolphin acting as our investment managers, we will adopt RBC Brewin Dolphin’s risk category 6 as a strategic allocation. RBC Brewin Dolphin’s risk categories are optimised and their structure is adjusted periodically to reflect the prevailing investment environment.</w:t>
      </w:r>
    </w:p>
    <w:p w14:paraId="63EBB9C5" w14:textId="7BABE69B" w:rsidR="00911097" w:rsidRPr="0000142C" w:rsidRDefault="2DB13E68" w:rsidP="006A439A">
      <w:pPr>
        <w:widowControl w:val="0"/>
        <w:tabs>
          <w:tab w:val="left" w:pos="804"/>
          <w:tab w:val="left" w:pos="805"/>
        </w:tabs>
        <w:spacing w:before="78" w:after="3" w:line="276" w:lineRule="auto"/>
        <w:ind w:right="-46"/>
        <w:jc w:val="both"/>
        <w:textAlignment w:val="baseline"/>
        <w:rPr>
          <w:rFonts w:ascii="Arial" w:eastAsia="Arial" w:hAnsi="Arial" w:cs="Arial"/>
          <w:color w:val="000000" w:themeColor="text1"/>
          <w:sz w:val="24"/>
          <w:szCs w:val="24"/>
          <w:lang w:val="en-US"/>
        </w:rPr>
      </w:pPr>
      <w:r w:rsidRPr="000B80B0">
        <w:rPr>
          <w:rFonts w:ascii="Arial" w:eastAsia="Arial" w:hAnsi="Arial" w:cs="Arial"/>
          <w:color w:val="000000" w:themeColor="text1"/>
          <w:sz w:val="24"/>
          <w:szCs w:val="24"/>
          <w:lang w:val="en-US"/>
        </w:rPr>
        <w:t xml:space="preserve">As at </w:t>
      </w:r>
      <w:r w:rsidR="00980327" w:rsidRPr="000B80B0">
        <w:rPr>
          <w:rFonts w:ascii="Arial" w:eastAsia="Arial" w:hAnsi="Arial" w:cs="Arial"/>
          <w:color w:val="000000" w:themeColor="text1"/>
          <w:sz w:val="24"/>
          <w:szCs w:val="24"/>
          <w:lang w:val="en-US"/>
        </w:rPr>
        <w:t>January 202</w:t>
      </w:r>
      <w:r w:rsidR="004D2BC4">
        <w:rPr>
          <w:rFonts w:ascii="Arial" w:eastAsia="Arial" w:hAnsi="Arial" w:cs="Arial"/>
          <w:color w:val="000000" w:themeColor="text1"/>
          <w:sz w:val="24"/>
          <w:szCs w:val="24"/>
          <w:lang w:val="en-US"/>
        </w:rPr>
        <w:t>5</w:t>
      </w:r>
      <w:r w:rsidRPr="000B80B0">
        <w:rPr>
          <w:rFonts w:ascii="Arial" w:eastAsia="Arial" w:hAnsi="Arial" w:cs="Arial"/>
          <w:color w:val="000000" w:themeColor="text1"/>
          <w:sz w:val="24"/>
          <w:szCs w:val="24"/>
          <w:lang w:val="en-US"/>
        </w:rPr>
        <w:t xml:space="preserve"> risk category 6 was structured as follows:</w:t>
      </w:r>
    </w:p>
    <w:p w14:paraId="6076B91B" w14:textId="1AD0C172" w:rsidR="00911097" w:rsidRPr="0000142C" w:rsidRDefault="00911097" w:rsidP="006A439A">
      <w:pPr>
        <w:widowControl w:val="0"/>
        <w:tabs>
          <w:tab w:val="left" w:pos="804"/>
          <w:tab w:val="left" w:pos="805"/>
        </w:tabs>
        <w:spacing w:before="78" w:after="3" w:line="276" w:lineRule="auto"/>
        <w:ind w:right="-46"/>
        <w:jc w:val="both"/>
        <w:textAlignment w:val="baseline"/>
        <w:rPr>
          <w:rFonts w:ascii="Arial" w:eastAsia="Arial" w:hAnsi="Arial" w:cs="Arial"/>
          <w:color w:val="000000" w:themeColor="text1"/>
          <w:sz w:val="24"/>
          <w:szCs w:val="24"/>
          <w:lang w:val="en-US"/>
        </w:rPr>
      </w:pPr>
    </w:p>
    <w:tbl>
      <w:tblPr>
        <w:tblW w:w="0" w:type="auto"/>
        <w:tblInd w:w="559" w:type="dxa"/>
        <w:tblLayout w:type="fixed"/>
        <w:tblLook w:val="01E0" w:firstRow="1" w:lastRow="1" w:firstColumn="1" w:lastColumn="1" w:noHBand="0" w:noVBand="0"/>
      </w:tblPr>
      <w:tblGrid>
        <w:gridCol w:w="4111"/>
        <w:gridCol w:w="3969"/>
      </w:tblGrid>
      <w:tr w:rsidR="619AF99A" w14:paraId="0F274F58" w14:textId="77777777" w:rsidTr="000B80B0">
        <w:trPr>
          <w:trHeight w:val="270"/>
        </w:trPr>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173DAC" w14:textId="29401BA3" w:rsidR="619AF99A" w:rsidRDefault="619AF99A" w:rsidP="006A439A">
            <w:pPr>
              <w:pStyle w:val="TableParagraph"/>
              <w:spacing w:line="255" w:lineRule="exact"/>
              <w:ind w:left="1086" w:right="-46"/>
              <w:jc w:val="both"/>
              <w:rPr>
                <w:sz w:val="24"/>
                <w:szCs w:val="24"/>
              </w:rPr>
            </w:pPr>
            <w:r w:rsidRPr="619AF99A">
              <w:rPr>
                <w:b/>
                <w:bCs/>
                <w:sz w:val="24"/>
                <w:szCs w:val="24"/>
                <w:lang w:val="en-US"/>
              </w:rPr>
              <w:t>Asset</w:t>
            </w:r>
          </w:p>
        </w:tc>
        <w:tc>
          <w:tcPr>
            <w:tcW w:w="396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492BCE09" w14:textId="10ED435A" w:rsidR="619AF99A" w:rsidRDefault="5FA20FA6" w:rsidP="006A439A">
            <w:pPr>
              <w:pStyle w:val="TableParagraph"/>
              <w:spacing w:line="255" w:lineRule="exact"/>
              <w:ind w:left="802" w:right="-46"/>
              <w:jc w:val="both"/>
              <w:rPr>
                <w:sz w:val="24"/>
                <w:szCs w:val="24"/>
              </w:rPr>
            </w:pPr>
            <w:r w:rsidRPr="000B80B0">
              <w:rPr>
                <w:b/>
                <w:bCs/>
                <w:sz w:val="24"/>
                <w:szCs w:val="24"/>
                <w:lang w:val="en-US"/>
              </w:rPr>
              <w:t>Benchmark %</w:t>
            </w:r>
          </w:p>
        </w:tc>
      </w:tr>
      <w:tr w:rsidR="619AF99A" w14:paraId="121D6D10" w14:textId="77777777" w:rsidTr="000B80B0">
        <w:trPr>
          <w:trHeight w:val="315"/>
        </w:trPr>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D431C0" w14:textId="25A3BCE8" w:rsidR="619AF99A" w:rsidRDefault="619AF99A" w:rsidP="006A439A">
            <w:pPr>
              <w:pStyle w:val="TableParagraph"/>
              <w:tabs>
                <w:tab w:val="left" w:pos="1854"/>
              </w:tabs>
              <w:ind w:left="0" w:right="-46"/>
              <w:jc w:val="both"/>
              <w:rPr>
                <w:sz w:val="24"/>
                <w:szCs w:val="24"/>
              </w:rPr>
            </w:pPr>
            <w:r w:rsidRPr="619AF99A">
              <w:rPr>
                <w:sz w:val="24"/>
                <w:szCs w:val="24"/>
                <w:lang w:val="en-US"/>
              </w:rPr>
              <w:t>Sovereign bonds</w:t>
            </w:r>
          </w:p>
        </w:tc>
        <w:tc>
          <w:tcPr>
            <w:tcW w:w="396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70E361B" w14:textId="606DC73E" w:rsidR="619AF99A" w:rsidRDefault="098FCEEE" w:rsidP="006A439A">
            <w:pPr>
              <w:pStyle w:val="TableParagraph"/>
              <w:spacing w:before="17" w:line="240" w:lineRule="auto"/>
              <w:ind w:left="1176" w:right="-46"/>
              <w:jc w:val="both"/>
              <w:rPr>
                <w:sz w:val="24"/>
                <w:szCs w:val="24"/>
              </w:rPr>
            </w:pPr>
            <w:r w:rsidRPr="000B80B0">
              <w:rPr>
                <w:sz w:val="24"/>
                <w:szCs w:val="24"/>
                <w:lang w:val="en-US"/>
              </w:rPr>
              <w:t>6.5%</w:t>
            </w:r>
          </w:p>
        </w:tc>
      </w:tr>
      <w:tr w:rsidR="619AF99A" w14:paraId="16B3B217" w14:textId="77777777" w:rsidTr="000B80B0">
        <w:trPr>
          <w:trHeight w:val="315"/>
        </w:trPr>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FB9289" w14:textId="342D9AF0" w:rsidR="619AF99A" w:rsidRDefault="619AF99A" w:rsidP="006A439A">
            <w:pPr>
              <w:pStyle w:val="TableParagraph"/>
              <w:tabs>
                <w:tab w:val="left" w:pos="1995"/>
              </w:tabs>
              <w:spacing w:line="240" w:lineRule="auto"/>
              <w:ind w:left="0" w:right="-46" w:hanging="131"/>
              <w:jc w:val="both"/>
              <w:rPr>
                <w:sz w:val="24"/>
                <w:szCs w:val="24"/>
              </w:rPr>
            </w:pPr>
            <w:r w:rsidRPr="619AF99A">
              <w:rPr>
                <w:sz w:val="24"/>
                <w:szCs w:val="24"/>
                <w:lang w:val="en-US"/>
              </w:rPr>
              <w:t>Index linked bonds</w:t>
            </w:r>
          </w:p>
        </w:tc>
        <w:tc>
          <w:tcPr>
            <w:tcW w:w="396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57F7AD01" w14:textId="705AEAF5" w:rsidR="619AF99A" w:rsidRDefault="098FCEEE" w:rsidP="006A439A">
            <w:pPr>
              <w:pStyle w:val="TableParagraph"/>
              <w:spacing w:before="17" w:line="240" w:lineRule="auto"/>
              <w:ind w:left="1176" w:right="-46"/>
              <w:jc w:val="both"/>
              <w:rPr>
                <w:sz w:val="24"/>
                <w:szCs w:val="24"/>
              </w:rPr>
            </w:pPr>
            <w:r w:rsidRPr="000B80B0">
              <w:rPr>
                <w:sz w:val="24"/>
                <w:szCs w:val="24"/>
                <w:lang w:val="en-US"/>
              </w:rPr>
              <w:t>2.0%</w:t>
            </w:r>
          </w:p>
        </w:tc>
      </w:tr>
      <w:tr w:rsidR="619AF99A" w14:paraId="43EBEE8F" w14:textId="77777777" w:rsidTr="000B80B0">
        <w:trPr>
          <w:trHeight w:val="315"/>
        </w:trPr>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2FA762" w14:textId="015023B0" w:rsidR="619AF99A" w:rsidRDefault="619AF99A" w:rsidP="006A439A">
            <w:pPr>
              <w:pStyle w:val="TableParagraph"/>
              <w:tabs>
                <w:tab w:val="left" w:pos="1995"/>
                <w:tab w:val="left" w:pos="2130"/>
              </w:tabs>
              <w:spacing w:line="240" w:lineRule="auto"/>
              <w:ind w:left="0" w:right="-46"/>
              <w:jc w:val="both"/>
              <w:rPr>
                <w:sz w:val="24"/>
                <w:szCs w:val="24"/>
              </w:rPr>
            </w:pPr>
            <w:r w:rsidRPr="619AF99A">
              <w:rPr>
                <w:sz w:val="24"/>
                <w:szCs w:val="24"/>
                <w:lang w:val="en-US"/>
              </w:rPr>
              <w:t>Corporate bonds</w:t>
            </w:r>
          </w:p>
        </w:tc>
        <w:tc>
          <w:tcPr>
            <w:tcW w:w="396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E424E82" w14:textId="7CF29C66" w:rsidR="619AF99A" w:rsidRPr="00930249" w:rsidRDefault="098FCEEE" w:rsidP="006A439A">
            <w:pPr>
              <w:pStyle w:val="TableParagraph"/>
              <w:spacing w:before="17" w:line="240" w:lineRule="auto"/>
              <w:ind w:left="1176" w:right="-46"/>
              <w:jc w:val="both"/>
              <w:rPr>
                <w:strike/>
                <w:sz w:val="24"/>
                <w:szCs w:val="24"/>
              </w:rPr>
            </w:pPr>
            <w:r w:rsidRPr="000B80B0">
              <w:rPr>
                <w:sz w:val="24"/>
                <w:szCs w:val="24"/>
                <w:lang w:val="en-US"/>
              </w:rPr>
              <w:t>8.5%</w:t>
            </w:r>
          </w:p>
        </w:tc>
      </w:tr>
      <w:tr w:rsidR="619AF99A" w14:paraId="0D0B0FB1" w14:textId="77777777" w:rsidTr="000B80B0">
        <w:trPr>
          <w:trHeight w:val="315"/>
        </w:trPr>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CB8BB6" w14:textId="615D8CE1" w:rsidR="619AF99A" w:rsidRDefault="619AF99A" w:rsidP="006A439A">
            <w:pPr>
              <w:pStyle w:val="TableParagraph"/>
              <w:tabs>
                <w:tab w:val="left" w:pos="2415"/>
              </w:tabs>
              <w:ind w:left="-273" w:right="-46" w:firstLine="273"/>
              <w:jc w:val="both"/>
              <w:rPr>
                <w:sz w:val="24"/>
                <w:szCs w:val="24"/>
              </w:rPr>
            </w:pPr>
            <w:r w:rsidRPr="619AF99A">
              <w:rPr>
                <w:sz w:val="24"/>
                <w:szCs w:val="24"/>
                <w:lang w:val="en-US"/>
              </w:rPr>
              <w:t>UK equities</w:t>
            </w:r>
          </w:p>
        </w:tc>
        <w:tc>
          <w:tcPr>
            <w:tcW w:w="396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82FAB6C" w14:textId="00AF4E76" w:rsidR="619AF99A" w:rsidRDefault="098FCEEE" w:rsidP="006A439A">
            <w:pPr>
              <w:pStyle w:val="TableParagraph"/>
              <w:spacing w:before="17" w:line="240" w:lineRule="auto"/>
              <w:ind w:left="1176" w:right="-46"/>
              <w:jc w:val="both"/>
              <w:rPr>
                <w:sz w:val="24"/>
                <w:szCs w:val="24"/>
              </w:rPr>
            </w:pPr>
            <w:r w:rsidRPr="000B80B0">
              <w:rPr>
                <w:sz w:val="24"/>
                <w:szCs w:val="24"/>
                <w:lang w:val="en-US"/>
              </w:rPr>
              <w:t>1</w:t>
            </w:r>
            <w:r w:rsidR="00B57743">
              <w:rPr>
                <w:sz w:val="24"/>
                <w:szCs w:val="24"/>
                <w:lang w:val="en-US"/>
              </w:rPr>
              <w:t>7</w:t>
            </w:r>
            <w:r w:rsidRPr="000B80B0">
              <w:rPr>
                <w:sz w:val="24"/>
                <w:szCs w:val="24"/>
                <w:lang w:val="en-US"/>
              </w:rPr>
              <w:t>.0%</w:t>
            </w:r>
          </w:p>
        </w:tc>
      </w:tr>
      <w:tr w:rsidR="619AF99A" w14:paraId="1A7A7EAA" w14:textId="77777777" w:rsidTr="000B80B0">
        <w:trPr>
          <w:trHeight w:val="315"/>
        </w:trPr>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46FDE" w14:textId="7BC84169" w:rsidR="619AF99A" w:rsidRDefault="619AF99A" w:rsidP="006A439A">
            <w:pPr>
              <w:pStyle w:val="TableParagraph"/>
              <w:tabs>
                <w:tab w:val="left" w:pos="2415"/>
              </w:tabs>
              <w:spacing w:line="240" w:lineRule="auto"/>
              <w:ind w:left="0" w:right="-46"/>
              <w:jc w:val="both"/>
              <w:rPr>
                <w:sz w:val="24"/>
                <w:szCs w:val="24"/>
              </w:rPr>
            </w:pPr>
            <w:r w:rsidRPr="619AF99A">
              <w:rPr>
                <w:sz w:val="24"/>
                <w:szCs w:val="24"/>
                <w:lang w:val="en-US"/>
              </w:rPr>
              <w:t>Overseas equities</w:t>
            </w:r>
          </w:p>
        </w:tc>
        <w:tc>
          <w:tcPr>
            <w:tcW w:w="396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7B48268F" w14:textId="76FCE132" w:rsidR="619AF99A" w:rsidRDefault="00B57743" w:rsidP="006A439A">
            <w:pPr>
              <w:pStyle w:val="TableParagraph"/>
              <w:spacing w:before="17" w:line="240" w:lineRule="auto"/>
              <w:ind w:left="1176" w:right="-46"/>
              <w:jc w:val="both"/>
              <w:rPr>
                <w:sz w:val="24"/>
                <w:szCs w:val="24"/>
              </w:rPr>
            </w:pPr>
            <w:r>
              <w:rPr>
                <w:sz w:val="24"/>
                <w:szCs w:val="24"/>
                <w:lang w:val="en-US"/>
              </w:rPr>
              <w:t>51</w:t>
            </w:r>
            <w:r w:rsidR="098FCEEE" w:rsidRPr="000B80B0">
              <w:rPr>
                <w:sz w:val="24"/>
                <w:szCs w:val="24"/>
                <w:lang w:val="en-US"/>
              </w:rPr>
              <w:t>.5%</w:t>
            </w:r>
          </w:p>
        </w:tc>
      </w:tr>
      <w:tr w:rsidR="619AF99A" w14:paraId="60D0FDEF" w14:textId="77777777" w:rsidTr="000B80B0">
        <w:trPr>
          <w:trHeight w:val="315"/>
        </w:trPr>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E04ABA" w14:textId="15378DF7" w:rsidR="619AF99A" w:rsidRDefault="619AF99A" w:rsidP="006A439A">
            <w:pPr>
              <w:pStyle w:val="TableParagraph"/>
              <w:tabs>
                <w:tab w:val="left" w:pos="720"/>
                <w:tab w:val="left" w:pos="2415"/>
              </w:tabs>
              <w:ind w:left="0" w:right="-46"/>
              <w:jc w:val="both"/>
              <w:rPr>
                <w:sz w:val="24"/>
                <w:szCs w:val="24"/>
              </w:rPr>
            </w:pPr>
            <w:r w:rsidRPr="619AF99A">
              <w:rPr>
                <w:sz w:val="24"/>
                <w:szCs w:val="24"/>
                <w:lang w:val="en-US"/>
              </w:rPr>
              <w:t>Property</w:t>
            </w:r>
          </w:p>
        </w:tc>
        <w:tc>
          <w:tcPr>
            <w:tcW w:w="396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13364CC" w14:textId="078C17C4" w:rsidR="619AF99A" w:rsidRDefault="5FA20FA6" w:rsidP="006A439A">
            <w:pPr>
              <w:pStyle w:val="TableParagraph"/>
              <w:spacing w:before="17" w:line="240" w:lineRule="auto"/>
              <w:ind w:left="1176" w:right="-46"/>
              <w:jc w:val="both"/>
              <w:rPr>
                <w:sz w:val="24"/>
                <w:szCs w:val="24"/>
              </w:rPr>
            </w:pPr>
            <w:r w:rsidRPr="000B80B0">
              <w:rPr>
                <w:sz w:val="24"/>
                <w:szCs w:val="24"/>
                <w:lang w:val="en-US"/>
              </w:rPr>
              <w:t>3.0%</w:t>
            </w:r>
          </w:p>
        </w:tc>
      </w:tr>
      <w:tr w:rsidR="619AF99A" w14:paraId="141D3CDE" w14:textId="77777777" w:rsidTr="000B80B0">
        <w:trPr>
          <w:trHeight w:val="315"/>
        </w:trPr>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9C6F02" w14:textId="77777777" w:rsidR="619AF99A" w:rsidRDefault="619AF99A" w:rsidP="006A439A">
            <w:pPr>
              <w:pStyle w:val="TableParagraph"/>
              <w:tabs>
                <w:tab w:val="left" w:pos="2415"/>
              </w:tabs>
              <w:ind w:left="0" w:right="-46"/>
              <w:jc w:val="both"/>
              <w:rPr>
                <w:sz w:val="24"/>
                <w:szCs w:val="24"/>
                <w:lang w:val="en-US"/>
              </w:rPr>
            </w:pPr>
            <w:r w:rsidRPr="619AF99A">
              <w:rPr>
                <w:sz w:val="24"/>
                <w:szCs w:val="24"/>
                <w:lang w:val="en-US"/>
              </w:rPr>
              <w:t>Alternatives</w:t>
            </w:r>
            <w:r w:rsidR="00B57743">
              <w:rPr>
                <w:sz w:val="24"/>
                <w:szCs w:val="24"/>
                <w:lang w:val="en-US"/>
              </w:rPr>
              <w:t xml:space="preserve"> including:</w:t>
            </w:r>
          </w:p>
          <w:p w14:paraId="7EB36223" w14:textId="14BF0C1E" w:rsidR="00B57743" w:rsidRDefault="00B57743" w:rsidP="00B57743">
            <w:pPr>
              <w:pStyle w:val="TableParagraph"/>
              <w:tabs>
                <w:tab w:val="left" w:pos="2415"/>
              </w:tabs>
              <w:ind w:left="0" w:right="-46"/>
              <w:jc w:val="center"/>
              <w:rPr>
                <w:sz w:val="24"/>
                <w:szCs w:val="24"/>
                <w:lang w:val="en-US"/>
              </w:rPr>
            </w:pPr>
            <w:r>
              <w:rPr>
                <w:sz w:val="24"/>
                <w:szCs w:val="24"/>
                <w:lang w:val="en-US"/>
              </w:rPr>
              <w:t>Cash</w:t>
            </w:r>
          </w:p>
          <w:p w14:paraId="4BC77AD3" w14:textId="37241F5D" w:rsidR="00B57743" w:rsidRDefault="00B57743" w:rsidP="00B57743">
            <w:pPr>
              <w:pStyle w:val="TableParagraph"/>
              <w:tabs>
                <w:tab w:val="left" w:pos="2415"/>
              </w:tabs>
              <w:ind w:left="0" w:right="-46"/>
              <w:jc w:val="center"/>
              <w:rPr>
                <w:sz w:val="24"/>
                <w:szCs w:val="24"/>
                <w:lang w:val="en-US"/>
              </w:rPr>
            </w:pPr>
            <w:r>
              <w:rPr>
                <w:sz w:val="24"/>
                <w:szCs w:val="24"/>
                <w:lang w:val="en-US"/>
              </w:rPr>
              <w:t>Gold</w:t>
            </w:r>
          </w:p>
          <w:p w14:paraId="41525DB4" w14:textId="7D842665" w:rsidR="00B57743" w:rsidRDefault="00B57743" w:rsidP="006A439A">
            <w:pPr>
              <w:pStyle w:val="TableParagraph"/>
              <w:tabs>
                <w:tab w:val="left" w:pos="2415"/>
              </w:tabs>
              <w:ind w:left="0" w:right="-46"/>
              <w:jc w:val="both"/>
              <w:rPr>
                <w:sz w:val="24"/>
                <w:szCs w:val="24"/>
              </w:rPr>
            </w:pPr>
          </w:p>
        </w:tc>
        <w:tc>
          <w:tcPr>
            <w:tcW w:w="3969" w:type="dxa"/>
            <w:tcBorders>
              <w:top w:val="single" w:sz="6" w:space="0" w:color="000000" w:themeColor="text1"/>
              <w:left w:val="single" w:sz="6" w:space="0" w:color="000000" w:themeColor="text1"/>
              <w:bottom w:val="single" w:sz="6" w:space="0" w:color="000000" w:themeColor="text1"/>
              <w:right w:val="single" w:sz="12" w:space="0" w:color="000000" w:themeColor="text1"/>
            </w:tcBorders>
          </w:tcPr>
          <w:p w14:paraId="056542C2" w14:textId="5BFA2662" w:rsidR="619AF99A" w:rsidRDefault="00422D05" w:rsidP="006A439A">
            <w:pPr>
              <w:pStyle w:val="TableParagraph"/>
              <w:spacing w:before="17" w:line="240" w:lineRule="auto"/>
              <w:ind w:left="1176" w:right="-46"/>
              <w:jc w:val="both"/>
              <w:rPr>
                <w:sz w:val="24"/>
                <w:szCs w:val="24"/>
                <w:lang w:val="en-US"/>
              </w:rPr>
            </w:pPr>
            <w:r>
              <w:rPr>
                <w:sz w:val="24"/>
                <w:szCs w:val="24"/>
                <w:lang w:val="en-US"/>
              </w:rPr>
              <w:t>1</w:t>
            </w:r>
            <w:r w:rsidR="00F4429B">
              <w:rPr>
                <w:sz w:val="24"/>
                <w:szCs w:val="24"/>
                <w:lang w:val="en-US"/>
              </w:rPr>
              <w:t>1</w:t>
            </w:r>
            <w:r w:rsidR="5FA20FA6" w:rsidRPr="000B80B0">
              <w:rPr>
                <w:sz w:val="24"/>
                <w:szCs w:val="24"/>
                <w:lang w:val="en-US"/>
              </w:rPr>
              <w:t>.</w:t>
            </w:r>
            <w:r w:rsidR="00F4429B">
              <w:rPr>
                <w:sz w:val="24"/>
                <w:szCs w:val="24"/>
                <w:lang w:val="en-US"/>
              </w:rPr>
              <w:t>5</w:t>
            </w:r>
            <w:r w:rsidR="5FA20FA6" w:rsidRPr="000B80B0">
              <w:rPr>
                <w:sz w:val="24"/>
                <w:szCs w:val="24"/>
                <w:lang w:val="en-US"/>
              </w:rPr>
              <w:t>%</w:t>
            </w:r>
          </w:p>
          <w:p w14:paraId="6E043170" w14:textId="77777777" w:rsidR="00B57743" w:rsidRDefault="00B57743" w:rsidP="006A439A">
            <w:pPr>
              <w:pStyle w:val="TableParagraph"/>
              <w:spacing w:before="17" w:line="240" w:lineRule="auto"/>
              <w:ind w:left="1176" w:right="-46"/>
              <w:jc w:val="both"/>
              <w:rPr>
                <w:sz w:val="24"/>
                <w:szCs w:val="24"/>
                <w:lang w:val="en-US"/>
              </w:rPr>
            </w:pPr>
            <w:r>
              <w:rPr>
                <w:sz w:val="24"/>
                <w:szCs w:val="24"/>
                <w:lang w:val="en-US"/>
              </w:rPr>
              <w:t>2.5%</w:t>
            </w:r>
          </w:p>
          <w:p w14:paraId="7764D916" w14:textId="3469E037" w:rsidR="00B57743" w:rsidRDefault="00B57743" w:rsidP="006A439A">
            <w:pPr>
              <w:pStyle w:val="TableParagraph"/>
              <w:spacing w:before="17" w:line="240" w:lineRule="auto"/>
              <w:ind w:left="1176" w:right="-46"/>
              <w:jc w:val="both"/>
              <w:rPr>
                <w:sz w:val="24"/>
                <w:szCs w:val="24"/>
              </w:rPr>
            </w:pPr>
            <w:r>
              <w:rPr>
                <w:sz w:val="24"/>
                <w:szCs w:val="24"/>
                <w:lang w:val="en-US"/>
              </w:rPr>
              <w:t>3.0%</w:t>
            </w:r>
          </w:p>
        </w:tc>
      </w:tr>
    </w:tbl>
    <w:p w14:paraId="04D149E0" w14:textId="382011E6" w:rsidR="00911097" w:rsidRPr="0000142C" w:rsidRDefault="00911097" w:rsidP="006A439A">
      <w:pPr>
        <w:widowControl w:val="0"/>
        <w:spacing w:before="9" w:after="0" w:line="240" w:lineRule="auto"/>
        <w:ind w:right="-45"/>
        <w:jc w:val="both"/>
        <w:textAlignment w:val="baseline"/>
        <w:rPr>
          <w:rFonts w:ascii="Arial" w:eastAsia="Arial" w:hAnsi="Arial" w:cs="Arial"/>
          <w:color w:val="000000" w:themeColor="text1"/>
          <w:sz w:val="24"/>
          <w:szCs w:val="24"/>
          <w:lang w:val="en-US"/>
        </w:rPr>
      </w:pPr>
    </w:p>
    <w:p w14:paraId="351F05FA" w14:textId="0332B0C5" w:rsidR="00911097" w:rsidRDefault="2DB13E68" w:rsidP="006A439A">
      <w:pPr>
        <w:widowControl w:val="0"/>
        <w:spacing w:after="0" w:line="240" w:lineRule="auto"/>
        <w:ind w:left="720" w:right="-45"/>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Some flexibility, within stipulated ranges, has been incorporated into the investment process to enable RBC Brewin Dolphin to adjust the structure of the </w:t>
      </w:r>
      <w:r w:rsidRPr="619AF99A">
        <w:rPr>
          <w:rFonts w:ascii="Arial" w:eastAsia="Arial" w:hAnsi="Arial" w:cs="Arial"/>
          <w:color w:val="000000" w:themeColor="text1"/>
          <w:sz w:val="24"/>
          <w:szCs w:val="24"/>
          <w:lang w:val="en-US"/>
        </w:rPr>
        <w:lastRenderedPageBreak/>
        <w:t>portfolio around the central optimised positions to take advantage of prevailing market conditions or specific requirements.</w:t>
      </w:r>
    </w:p>
    <w:p w14:paraId="4B209B69" w14:textId="77777777" w:rsidR="002E0584" w:rsidRPr="0000142C" w:rsidRDefault="002E0584" w:rsidP="006A439A">
      <w:pPr>
        <w:widowControl w:val="0"/>
        <w:spacing w:after="0" w:line="240" w:lineRule="auto"/>
        <w:ind w:left="720" w:right="-45"/>
        <w:jc w:val="both"/>
        <w:textAlignment w:val="baseline"/>
        <w:rPr>
          <w:rFonts w:ascii="Arial" w:eastAsia="Arial" w:hAnsi="Arial" w:cs="Arial"/>
          <w:color w:val="000000" w:themeColor="text1"/>
          <w:sz w:val="24"/>
          <w:szCs w:val="24"/>
          <w:lang w:val="en-US"/>
        </w:rPr>
      </w:pPr>
    </w:p>
    <w:p w14:paraId="35895D05" w14:textId="0D462C53" w:rsidR="00911097" w:rsidRPr="0000142C" w:rsidRDefault="2DB13E68" w:rsidP="006A439A">
      <w:pPr>
        <w:widowControl w:val="0"/>
        <w:spacing w:before="9" w:after="0" w:line="240" w:lineRule="auto"/>
        <w:ind w:right="-45"/>
        <w:jc w:val="both"/>
        <w:textAlignment w:val="baseline"/>
        <w:rPr>
          <w:rFonts w:ascii="Arial" w:eastAsia="Arial" w:hAnsi="Arial" w:cs="Arial"/>
          <w:color w:val="111111"/>
          <w:sz w:val="24"/>
          <w:szCs w:val="24"/>
          <w:lang w:val="en-US"/>
        </w:rPr>
      </w:pPr>
      <w:r w:rsidRPr="619AF99A">
        <w:rPr>
          <w:rFonts w:ascii="Arial" w:eastAsia="Arial" w:hAnsi="Arial" w:cs="Arial"/>
          <w:b/>
          <w:bCs/>
          <w:color w:val="111111"/>
          <w:sz w:val="24"/>
          <w:szCs w:val="24"/>
          <w:lang w:val="en-US"/>
        </w:rPr>
        <w:t>Currency risk</w:t>
      </w:r>
    </w:p>
    <w:p w14:paraId="1956C6D4" w14:textId="396826F9" w:rsidR="00911097" w:rsidRPr="0000142C" w:rsidRDefault="4AE5316E" w:rsidP="006A439A">
      <w:pPr>
        <w:widowControl w:val="0"/>
        <w:tabs>
          <w:tab w:val="left" w:pos="804"/>
          <w:tab w:val="left" w:pos="805"/>
        </w:tabs>
        <w:spacing w:before="41" w:after="0" w:line="240" w:lineRule="auto"/>
        <w:ind w:right="-45"/>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5.8 </w:t>
      </w:r>
      <w:r w:rsidR="2DB13E68" w:rsidRPr="619AF99A">
        <w:rPr>
          <w:rFonts w:ascii="Arial" w:eastAsia="Arial" w:hAnsi="Arial" w:cs="Arial"/>
          <w:color w:val="000000" w:themeColor="text1"/>
          <w:sz w:val="24"/>
          <w:szCs w:val="24"/>
          <w:lang w:val="en-US"/>
        </w:rPr>
        <w:t>The majority of the GOC's liabilities are in sterling.</w:t>
      </w:r>
    </w:p>
    <w:p w14:paraId="42DE8086" w14:textId="002C4C39" w:rsidR="00911097" w:rsidRPr="0000142C" w:rsidRDefault="3252FC38" w:rsidP="006A439A">
      <w:pPr>
        <w:widowControl w:val="0"/>
        <w:spacing w:before="1" w:after="0" w:line="240" w:lineRule="auto"/>
        <w:ind w:right="-45"/>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5.9 </w:t>
      </w:r>
      <w:r w:rsidR="2DB13E68" w:rsidRPr="619AF99A">
        <w:rPr>
          <w:rFonts w:ascii="Arial" w:eastAsia="Arial" w:hAnsi="Arial" w:cs="Arial"/>
          <w:color w:val="000000" w:themeColor="text1"/>
          <w:sz w:val="24"/>
          <w:szCs w:val="24"/>
          <w:lang w:val="en-US"/>
        </w:rPr>
        <w:t>The significant portion of the portfolio should be maintained in sterling assets. Where other currency assets are included, the investment manager should consider currency issues.</w:t>
      </w:r>
    </w:p>
    <w:p w14:paraId="2B86B003" w14:textId="19CF0453" w:rsidR="00911097" w:rsidRDefault="6D1446B7" w:rsidP="006A439A">
      <w:pPr>
        <w:widowControl w:val="0"/>
        <w:spacing w:after="0" w:line="240" w:lineRule="auto"/>
        <w:ind w:right="-45"/>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5.10 </w:t>
      </w:r>
      <w:r w:rsidR="2DB13E68" w:rsidRPr="619AF99A">
        <w:rPr>
          <w:rFonts w:ascii="Arial" w:eastAsia="Arial" w:hAnsi="Arial" w:cs="Arial"/>
          <w:color w:val="000000" w:themeColor="text1"/>
          <w:sz w:val="24"/>
          <w:szCs w:val="24"/>
          <w:lang w:val="en-US"/>
        </w:rPr>
        <w:t>Investment may be made in non-sterling assets.</w:t>
      </w:r>
    </w:p>
    <w:p w14:paraId="6805FA58" w14:textId="77777777" w:rsidR="002E0584" w:rsidRPr="0000142C" w:rsidRDefault="002E0584" w:rsidP="006A439A">
      <w:pPr>
        <w:widowControl w:val="0"/>
        <w:spacing w:after="0" w:line="240" w:lineRule="auto"/>
        <w:ind w:right="-45"/>
        <w:jc w:val="both"/>
        <w:textAlignment w:val="baseline"/>
        <w:rPr>
          <w:rFonts w:ascii="Arial" w:eastAsia="Arial" w:hAnsi="Arial" w:cs="Arial"/>
          <w:color w:val="000000" w:themeColor="text1"/>
          <w:sz w:val="24"/>
          <w:szCs w:val="24"/>
          <w:lang w:val="en-US"/>
        </w:rPr>
      </w:pPr>
    </w:p>
    <w:p w14:paraId="4E492665" w14:textId="0056BA07" w:rsidR="00911097" w:rsidRPr="0000142C" w:rsidRDefault="2DB13E68" w:rsidP="006A439A">
      <w:pPr>
        <w:widowControl w:val="0"/>
        <w:spacing w:after="0" w:line="240" w:lineRule="auto"/>
        <w:ind w:right="-45"/>
        <w:jc w:val="both"/>
        <w:textAlignment w:val="baseline"/>
        <w:rPr>
          <w:rFonts w:ascii="Arial" w:eastAsia="Arial" w:hAnsi="Arial" w:cs="Arial"/>
          <w:color w:val="111111"/>
          <w:sz w:val="24"/>
          <w:szCs w:val="24"/>
          <w:lang w:val="en-US"/>
        </w:rPr>
      </w:pPr>
      <w:r w:rsidRPr="619AF99A">
        <w:rPr>
          <w:rFonts w:ascii="Arial" w:eastAsia="Arial" w:hAnsi="Arial" w:cs="Arial"/>
          <w:b/>
          <w:bCs/>
          <w:color w:val="111111"/>
          <w:sz w:val="24"/>
          <w:szCs w:val="24"/>
          <w:lang w:val="en-US"/>
        </w:rPr>
        <w:t>Credit/counterparty exposure risk</w:t>
      </w:r>
    </w:p>
    <w:p w14:paraId="1F15CF91" w14:textId="098E7A42" w:rsidR="00911097" w:rsidRPr="0000142C" w:rsidRDefault="1008ACFC" w:rsidP="006A439A">
      <w:pPr>
        <w:widowControl w:val="0"/>
        <w:tabs>
          <w:tab w:val="left" w:pos="805"/>
        </w:tabs>
        <w:spacing w:before="41" w:after="0" w:line="240" w:lineRule="auto"/>
        <w:ind w:right="-45"/>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5.11 </w:t>
      </w:r>
      <w:r w:rsidR="2DB13E68" w:rsidRPr="619AF99A">
        <w:rPr>
          <w:rFonts w:ascii="Arial" w:eastAsia="Arial" w:hAnsi="Arial" w:cs="Arial"/>
          <w:color w:val="000000" w:themeColor="text1"/>
          <w:sz w:val="24"/>
          <w:szCs w:val="24"/>
          <w:lang w:val="en-US"/>
        </w:rPr>
        <w:t>A minimum of 70 per cent of the fixed interest investments should be of investment grade.</w:t>
      </w:r>
    </w:p>
    <w:p w14:paraId="61399DA9" w14:textId="3B6979AA" w:rsidR="00911097" w:rsidRPr="0000142C" w:rsidRDefault="76EF5352" w:rsidP="006A439A">
      <w:pPr>
        <w:widowControl w:val="0"/>
        <w:spacing w:before="8" w:after="0" w:line="240" w:lineRule="auto"/>
        <w:ind w:right="-45"/>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5.12 </w:t>
      </w:r>
      <w:r w:rsidR="2DB13E68" w:rsidRPr="619AF99A">
        <w:rPr>
          <w:rFonts w:ascii="Arial" w:eastAsia="Arial" w:hAnsi="Arial" w:cs="Arial"/>
          <w:color w:val="000000" w:themeColor="text1"/>
          <w:sz w:val="24"/>
          <w:szCs w:val="24"/>
          <w:lang w:val="en-US"/>
        </w:rPr>
        <w:t>Credit of cash institutions should be rated at least A1 by S&amp;P or P1 by Moody's.</w:t>
      </w:r>
    </w:p>
    <w:p w14:paraId="4A97D74E" w14:textId="69A0FB32" w:rsidR="00911097" w:rsidRDefault="15165CD7" w:rsidP="006A439A">
      <w:pPr>
        <w:widowControl w:val="0"/>
        <w:spacing w:before="10" w:after="0" w:line="240" w:lineRule="auto"/>
        <w:ind w:right="-45"/>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 xml:space="preserve">5.13 </w:t>
      </w:r>
      <w:r w:rsidR="2DB13E68" w:rsidRPr="619AF99A">
        <w:rPr>
          <w:rFonts w:ascii="Arial" w:eastAsia="Arial" w:hAnsi="Arial" w:cs="Arial"/>
          <w:color w:val="000000" w:themeColor="text1"/>
          <w:sz w:val="24"/>
          <w:szCs w:val="24"/>
          <w:lang w:val="en-US"/>
        </w:rPr>
        <w:t>No more than 10.0% of the portfolio value should be placed in any one stock, institution, or fund.</w:t>
      </w:r>
    </w:p>
    <w:p w14:paraId="70E09BD6" w14:textId="77777777" w:rsidR="002E0584" w:rsidRPr="0000142C" w:rsidRDefault="002E0584" w:rsidP="006A439A">
      <w:pPr>
        <w:widowControl w:val="0"/>
        <w:spacing w:before="10" w:after="0"/>
        <w:ind w:right="-46"/>
        <w:jc w:val="both"/>
        <w:textAlignment w:val="baseline"/>
        <w:rPr>
          <w:rFonts w:ascii="Arial" w:eastAsia="Arial" w:hAnsi="Arial" w:cs="Arial"/>
          <w:color w:val="000000" w:themeColor="text1"/>
          <w:sz w:val="24"/>
          <w:szCs w:val="24"/>
          <w:lang w:val="en-US"/>
        </w:rPr>
      </w:pPr>
    </w:p>
    <w:p w14:paraId="7CC166E8" w14:textId="359CF0DA" w:rsidR="00911097" w:rsidRPr="0000142C" w:rsidRDefault="561F68B5" w:rsidP="006A439A">
      <w:pPr>
        <w:pBdr>
          <w:bottom w:val="single" w:sz="6" w:space="1" w:color="auto"/>
        </w:pBdr>
        <w:spacing w:after="0"/>
        <w:jc w:val="both"/>
        <w:textAlignment w:val="baseline"/>
        <w:rPr>
          <w:rFonts w:ascii="Rockwell" w:hAnsi="Rockwell"/>
          <w:color w:val="005694"/>
          <w:sz w:val="28"/>
          <w:szCs w:val="28"/>
        </w:rPr>
      </w:pPr>
      <w:r w:rsidRPr="619AF99A">
        <w:rPr>
          <w:rFonts w:ascii="Rockwell" w:hAnsi="Rockwell"/>
          <w:color w:val="005694"/>
          <w:sz w:val="28"/>
          <w:szCs w:val="28"/>
        </w:rPr>
        <w:t xml:space="preserve">6. </w:t>
      </w:r>
      <w:r w:rsidR="4E9A8B8F" w:rsidRPr="619AF99A">
        <w:rPr>
          <w:rFonts w:ascii="Rockwell" w:hAnsi="Rockwell"/>
          <w:color w:val="005694"/>
          <w:sz w:val="28"/>
          <w:szCs w:val="28"/>
        </w:rPr>
        <w:t>Liquidity requirements</w:t>
      </w:r>
    </w:p>
    <w:p w14:paraId="1D008776" w14:textId="7A1F49C4" w:rsidR="00911097" w:rsidRPr="0000142C" w:rsidRDefault="4E9A8B8F" w:rsidP="006A439A">
      <w:pPr>
        <w:widowControl w:val="0"/>
        <w:tabs>
          <w:tab w:val="left" w:pos="804"/>
          <w:tab w:val="left" w:pos="805"/>
        </w:tabs>
        <w:spacing w:before="118" w:after="0" w:line="240" w:lineRule="auto"/>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6.1 The trustees wish to maintain a separate working capital reserve in-line with our Reserves Policy and Working Capital Statement, (see Reserves Policy for current figure).</w:t>
      </w:r>
    </w:p>
    <w:p w14:paraId="7FFE4F2F" w14:textId="25B00DDB" w:rsidR="00911097" w:rsidRDefault="4E9A8B8F" w:rsidP="006A439A">
      <w:pPr>
        <w:widowControl w:val="0"/>
        <w:tabs>
          <w:tab w:val="left" w:pos="804"/>
          <w:tab w:val="left" w:pos="805"/>
        </w:tabs>
        <w:spacing w:before="118" w:after="0" w:line="240" w:lineRule="auto"/>
        <w:ind w:right="-46"/>
        <w:jc w:val="both"/>
        <w:textAlignment w:val="baseline"/>
        <w:rPr>
          <w:rFonts w:ascii="Arial" w:eastAsia="Arial" w:hAnsi="Arial" w:cs="Arial"/>
          <w:color w:val="000000" w:themeColor="text1"/>
          <w:sz w:val="24"/>
          <w:szCs w:val="24"/>
          <w:lang w:val="en-US"/>
        </w:rPr>
      </w:pPr>
      <w:r w:rsidRPr="619AF99A">
        <w:rPr>
          <w:rFonts w:ascii="Arial" w:eastAsia="Arial" w:hAnsi="Arial" w:cs="Arial"/>
          <w:color w:val="000000" w:themeColor="text1"/>
          <w:sz w:val="24"/>
          <w:szCs w:val="24"/>
          <w:lang w:val="en-US"/>
        </w:rPr>
        <w:t>6.2 Liquidity/income needs from the portfolio will be reviewed with the investment manager on a regular basis.</w:t>
      </w:r>
    </w:p>
    <w:p w14:paraId="434F10B1" w14:textId="77777777" w:rsidR="002E0584" w:rsidRPr="0000142C" w:rsidRDefault="002E0584" w:rsidP="006A439A">
      <w:pPr>
        <w:widowControl w:val="0"/>
        <w:tabs>
          <w:tab w:val="left" w:pos="804"/>
          <w:tab w:val="left" w:pos="805"/>
        </w:tabs>
        <w:spacing w:before="118" w:after="0" w:line="240" w:lineRule="auto"/>
        <w:ind w:right="-46"/>
        <w:jc w:val="both"/>
        <w:textAlignment w:val="baseline"/>
        <w:rPr>
          <w:rFonts w:ascii="Arial" w:eastAsia="Arial" w:hAnsi="Arial" w:cs="Arial"/>
          <w:color w:val="000000" w:themeColor="text1"/>
          <w:sz w:val="24"/>
          <w:szCs w:val="24"/>
          <w:lang w:val="en-US"/>
        </w:rPr>
      </w:pPr>
    </w:p>
    <w:p w14:paraId="6DF12B30" w14:textId="288C354A" w:rsidR="00911097" w:rsidRPr="0000142C" w:rsidRDefault="4E9A8B8F" w:rsidP="006A439A">
      <w:pPr>
        <w:pBdr>
          <w:bottom w:val="single" w:sz="6" w:space="1" w:color="auto"/>
        </w:pBdr>
        <w:spacing w:after="0"/>
        <w:jc w:val="both"/>
        <w:textAlignment w:val="baseline"/>
        <w:rPr>
          <w:rFonts w:ascii="Rockwell" w:hAnsi="Rockwell"/>
          <w:color w:val="005694"/>
          <w:sz w:val="28"/>
          <w:szCs w:val="28"/>
        </w:rPr>
      </w:pPr>
      <w:r w:rsidRPr="619AF99A">
        <w:rPr>
          <w:rFonts w:ascii="Rockwell" w:hAnsi="Rockwell"/>
          <w:color w:val="005694"/>
          <w:sz w:val="28"/>
          <w:szCs w:val="28"/>
        </w:rPr>
        <w:t xml:space="preserve">7. </w:t>
      </w:r>
      <w:r w:rsidR="00473AB5">
        <w:rPr>
          <w:rFonts w:ascii="Rockwell" w:hAnsi="Rockwell"/>
          <w:color w:val="005694"/>
          <w:sz w:val="28"/>
          <w:szCs w:val="28"/>
        </w:rPr>
        <w:t>Time Horizon</w:t>
      </w:r>
    </w:p>
    <w:p w14:paraId="514FC295" w14:textId="29D7350B" w:rsidR="00911097" w:rsidRDefault="6EC02520" w:rsidP="006A439A">
      <w:pPr>
        <w:widowControl w:val="0"/>
        <w:tabs>
          <w:tab w:val="left" w:pos="804"/>
          <w:tab w:val="left" w:pos="805"/>
        </w:tabs>
        <w:spacing w:after="0" w:line="240" w:lineRule="auto"/>
        <w:ind w:right="-45"/>
        <w:jc w:val="both"/>
        <w:textAlignment w:val="baseline"/>
        <w:rPr>
          <w:rFonts w:ascii="Arial" w:eastAsia="Arial" w:hAnsi="Arial" w:cs="Arial"/>
          <w:color w:val="111111"/>
          <w:sz w:val="24"/>
          <w:szCs w:val="24"/>
          <w:lang w:val="en-US"/>
        </w:rPr>
      </w:pPr>
      <w:r w:rsidRPr="619AF99A">
        <w:rPr>
          <w:rFonts w:ascii="Arial" w:eastAsia="Arial" w:hAnsi="Arial" w:cs="Arial"/>
          <w:color w:val="111111"/>
          <w:sz w:val="24"/>
          <w:szCs w:val="24"/>
          <w:lang w:val="en-US"/>
        </w:rPr>
        <w:t>7.1 This is a long-term investment portfolio. As part of its purpose is to support the GOC, any change in funding requirements may alter the investment objective and income requirement.</w:t>
      </w:r>
    </w:p>
    <w:p w14:paraId="79751BE2" w14:textId="77777777" w:rsidR="002E0584" w:rsidRPr="0000142C" w:rsidRDefault="002E0584" w:rsidP="006A439A">
      <w:pPr>
        <w:widowControl w:val="0"/>
        <w:tabs>
          <w:tab w:val="left" w:pos="804"/>
          <w:tab w:val="left" w:pos="805"/>
        </w:tabs>
        <w:spacing w:after="0" w:line="240" w:lineRule="auto"/>
        <w:ind w:right="-45"/>
        <w:jc w:val="both"/>
        <w:textAlignment w:val="baseline"/>
        <w:rPr>
          <w:rFonts w:ascii="Arial" w:eastAsia="Arial" w:hAnsi="Arial" w:cs="Arial"/>
          <w:sz w:val="24"/>
          <w:szCs w:val="24"/>
          <w:lang w:val="en-US"/>
        </w:rPr>
      </w:pPr>
    </w:p>
    <w:p w14:paraId="4731A203" w14:textId="4DD45F61" w:rsidR="00911097" w:rsidRPr="0000142C" w:rsidRDefault="6EC02520" w:rsidP="006A439A">
      <w:pPr>
        <w:pBdr>
          <w:bottom w:val="single" w:sz="6" w:space="1" w:color="auto"/>
        </w:pBdr>
        <w:spacing w:after="0"/>
        <w:ind w:right="-46"/>
        <w:jc w:val="both"/>
        <w:textAlignment w:val="baseline"/>
        <w:rPr>
          <w:rFonts w:ascii="Rockwell" w:hAnsi="Rockwell"/>
          <w:color w:val="005694"/>
          <w:sz w:val="28"/>
          <w:szCs w:val="28"/>
        </w:rPr>
      </w:pPr>
      <w:r w:rsidRPr="619AF99A">
        <w:rPr>
          <w:rFonts w:ascii="Rockwell" w:hAnsi="Rockwell"/>
          <w:color w:val="005694"/>
          <w:sz w:val="28"/>
          <w:szCs w:val="28"/>
        </w:rPr>
        <w:t>8. Ethical investment</w:t>
      </w:r>
    </w:p>
    <w:p w14:paraId="714690D7" w14:textId="3719A8D6" w:rsidR="00911097" w:rsidRDefault="6EC02520" w:rsidP="006A439A">
      <w:pPr>
        <w:widowControl w:val="0"/>
        <w:tabs>
          <w:tab w:val="left" w:pos="804"/>
          <w:tab w:val="left" w:pos="805"/>
        </w:tabs>
        <w:spacing w:after="0" w:line="240" w:lineRule="auto"/>
        <w:ind w:right="-46"/>
        <w:jc w:val="both"/>
        <w:textAlignment w:val="baseline"/>
        <w:rPr>
          <w:rFonts w:ascii="Arial" w:eastAsia="Arial" w:hAnsi="Arial" w:cs="Arial"/>
          <w:color w:val="0E0E0E"/>
          <w:sz w:val="24"/>
          <w:szCs w:val="24"/>
          <w:lang w:val="en-US"/>
        </w:rPr>
      </w:pPr>
      <w:r w:rsidRPr="619AF99A">
        <w:rPr>
          <w:rFonts w:ascii="Arial" w:eastAsia="Arial" w:hAnsi="Arial" w:cs="Arial"/>
          <w:color w:val="000000" w:themeColor="text1"/>
          <w:sz w:val="24"/>
          <w:szCs w:val="24"/>
          <w:lang w:val="en-US"/>
        </w:rPr>
        <w:t xml:space="preserve">8.1 </w:t>
      </w:r>
      <w:r w:rsidRPr="619AF99A">
        <w:rPr>
          <w:rFonts w:ascii="Arial" w:eastAsia="Arial" w:hAnsi="Arial" w:cs="Arial"/>
          <w:color w:val="0E0E0E"/>
          <w:sz w:val="24"/>
          <w:szCs w:val="24"/>
          <w:lang w:val="en-US"/>
        </w:rPr>
        <w:t>The GOC’s assets should be invested in line with its statutory remit.</w:t>
      </w:r>
    </w:p>
    <w:p w14:paraId="4AC3F842" w14:textId="77777777" w:rsidR="004E2210" w:rsidRPr="0000142C" w:rsidRDefault="004E2210" w:rsidP="006A439A">
      <w:pPr>
        <w:widowControl w:val="0"/>
        <w:tabs>
          <w:tab w:val="left" w:pos="804"/>
          <w:tab w:val="left" w:pos="805"/>
        </w:tabs>
        <w:spacing w:after="0" w:line="240" w:lineRule="auto"/>
        <w:ind w:right="-46"/>
        <w:jc w:val="both"/>
        <w:textAlignment w:val="baseline"/>
        <w:rPr>
          <w:rFonts w:ascii="Arial" w:eastAsia="Arial" w:hAnsi="Arial" w:cs="Arial"/>
          <w:color w:val="0E0E0E"/>
          <w:sz w:val="24"/>
          <w:szCs w:val="24"/>
          <w:lang w:val="en-US"/>
        </w:rPr>
      </w:pPr>
    </w:p>
    <w:p w14:paraId="0A6CA35B" w14:textId="7E6107DE" w:rsidR="00911097" w:rsidRDefault="6EC02520" w:rsidP="006A439A">
      <w:pPr>
        <w:widowControl w:val="0"/>
        <w:tabs>
          <w:tab w:val="left" w:pos="804"/>
          <w:tab w:val="left" w:pos="805"/>
        </w:tabs>
        <w:spacing w:after="0" w:line="240" w:lineRule="auto"/>
        <w:ind w:right="-46"/>
        <w:jc w:val="both"/>
        <w:textAlignment w:val="baseline"/>
        <w:rPr>
          <w:rFonts w:ascii="Arial" w:eastAsia="Arial" w:hAnsi="Arial" w:cs="Arial"/>
          <w:color w:val="0E0E0E"/>
          <w:sz w:val="24"/>
          <w:szCs w:val="24"/>
          <w:lang w:val="en-US"/>
        </w:rPr>
      </w:pPr>
      <w:r w:rsidRPr="619AF99A">
        <w:rPr>
          <w:rFonts w:ascii="Arial" w:eastAsia="Arial" w:hAnsi="Arial" w:cs="Arial"/>
          <w:color w:val="0E0E0E"/>
          <w:sz w:val="24"/>
          <w:szCs w:val="24"/>
          <w:lang w:val="en-US"/>
        </w:rPr>
        <w:t>8.2 The GOC operates an ethical screening policy and wishes to avoid direct investment in companies where a significant proportion of its turnover or profit comes from the sale or production of tobacco related products as sight loss can be directly attributable to smoking.</w:t>
      </w:r>
    </w:p>
    <w:p w14:paraId="66C09D69" w14:textId="77777777" w:rsidR="002E0584" w:rsidRPr="0000142C" w:rsidRDefault="002E0584" w:rsidP="006A439A">
      <w:pPr>
        <w:widowControl w:val="0"/>
        <w:tabs>
          <w:tab w:val="left" w:pos="804"/>
          <w:tab w:val="left" w:pos="805"/>
        </w:tabs>
        <w:spacing w:after="0" w:line="240" w:lineRule="auto"/>
        <w:ind w:right="-46"/>
        <w:jc w:val="both"/>
        <w:textAlignment w:val="baseline"/>
        <w:rPr>
          <w:rFonts w:ascii="Arial" w:eastAsia="Arial" w:hAnsi="Arial" w:cs="Arial"/>
          <w:color w:val="0E0E0E"/>
          <w:sz w:val="24"/>
          <w:szCs w:val="24"/>
          <w:lang w:val="en-US"/>
        </w:rPr>
      </w:pPr>
    </w:p>
    <w:p w14:paraId="6C02C123" w14:textId="1C60B5DA" w:rsidR="00911097" w:rsidRPr="0000142C" w:rsidRDefault="6EC02520" w:rsidP="006A439A">
      <w:pPr>
        <w:pBdr>
          <w:bottom w:val="single" w:sz="6" w:space="1" w:color="auto"/>
        </w:pBdr>
        <w:spacing w:after="0"/>
        <w:ind w:right="-46"/>
        <w:jc w:val="both"/>
        <w:textAlignment w:val="baseline"/>
        <w:rPr>
          <w:rFonts w:ascii="Rockwell" w:hAnsi="Rockwell"/>
          <w:color w:val="005694"/>
          <w:sz w:val="28"/>
          <w:szCs w:val="28"/>
        </w:rPr>
      </w:pPr>
      <w:r w:rsidRPr="619AF99A">
        <w:rPr>
          <w:rFonts w:ascii="Rockwell" w:hAnsi="Rockwell"/>
          <w:color w:val="005694"/>
          <w:sz w:val="28"/>
          <w:szCs w:val="28"/>
        </w:rPr>
        <w:t xml:space="preserve">9. </w:t>
      </w:r>
      <w:r w:rsidR="00473AB5">
        <w:rPr>
          <w:rFonts w:ascii="Rockwell" w:hAnsi="Rockwell"/>
          <w:color w:val="005694"/>
          <w:sz w:val="28"/>
          <w:szCs w:val="28"/>
        </w:rPr>
        <w:t>Delegation of Authority</w:t>
      </w:r>
    </w:p>
    <w:p w14:paraId="2AD52B3B" w14:textId="3ECAE3B7" w:rsidR="00FE1304" w:rsidRDefault="6EC02520" w:rsidP="006A439A">
      <w:pPr>
        <w:widowControl w:val="0"/>
        <w:tabs>
          <w:tab w:val="left" w:pos="804"/>
          <w:tab w:val="left" w:pos="805"/>
        </w:tabs>
        <w:spacing w:before="156" w:after="0" w:line="240" w:lineRule="auto"/>
        <w:ind w:right="-46"/>
        <w:jc w:val="both"/>
        <w:textAlignment w:val="baseline"/>
        <w:rPr>
          <w:rFonts w:ascii="Arial" w:eastAsia="Arial" w:hAnsi="Arial" w:cs="Arial"/>
          <w:color w:val="0E0E0E"/>
          <w:sz w:val="24"/>
          <w:szCs w:val="24"/>
          <w:lang w:val="en-US"/>
        </w:rPr>
      </w:pPr>
      <w:r w:rsidRPr="619AF99A">
        <w:rPr>
          <w:rFonts w:ascii="Arial" w:eastAsia="Arial" w:hAnsi="Arial" w:cs="Arial"/>
          <w:color w:val="000000" w:themeColor="text1"/>
          <w:sz w:val="24"/>
          <w:szCs w:val="24"/>
          <w:lang w:val="en-US"/>
        </w:rPr>
        <w:t xml:space="preserve">9.1 </w:t>
      </w:r>
      <w:r w:rsidRPr="619AF99A">
        <w:rPr>
          <w:rFonts w:ascii="Arial" w:eastAsia="Arial" w:hAnsi="Arial" w:cs="Arial"/>
          <w:color w:val="0E0E0E"/>
          <w:sz w:val="24"/>
          <w:szCs w:val="24"/>
          <w:lang w:val="en-US"/>
        </w:rPr>
        <w:t>The Director of Corporate Services is appointed as the designated investment officer with the authority to act as liaison between the GOC and the appointed investment manager.</w:t>
      </w:r>
    </w:p>
    <w:p w14:paraId="74BC580D" w14:textId="77777777" w:rsidR="00FD3B4C" w:rsidRDefault="00FD3B4C" w:rsidP="004E2210">
      <w:pPr>
        <w:pBdr>
          <w:bottom w:val="single" w:sz="6" w:space="1" w:color="auto"/>
        </w:pBdr>
        <w:spacing w:after="0"/>
        <w:ind w:right="-46"/>
        <w:textAlignment w:val="baseline"/>
        <w:rPr>
          <w:rFonts w:ascii="Rockwell" w:hAnsi="Rockwell"/>
          <w:color w:val="005694"/>
          <w:sz w:val="28"/>
          <w:szCs w:val="28"/>
        </w:rPr>
      </w:pPr>
    </w:p>
    <w:p w14:paraId="6E39F49A" w14:textId="7984BFBB" w:rsidR="00911097" w:rsidRPr="0000142C" w:rsidRDefault="6EC02520" w:rsidP="004E2210">
      <w:pPr>
        <w:pBdr>
          <w:bottom w:val="single" w:sz="6" w:space="1" w:color="auto"/>
        </w:pBdr>
        <w:spacing w:after="0"/>
        <w:ind w:right="-46"/>
        <w:textAlignment w:val="baseline"/>
        <w:rPr>
          <w:rFonts w:ascii="Rockwell" w:hAnsi="Rockwell"/>
          <w:color w:val="005694"/>
          <w:sz w:val="28"/>
          <w:szCs w:val="28"/>
        </w:rPr>
      </w:pPr>
      <w:r w:rsidRPr="619AF99A">
        <w:rPr>
          <w:rFonts w:ascii="Rockwell" w:hAnsi="Rockwell"/>
          <w:color w:val="005694"/>
          <w:sz w:val="28"/>
          <w:szCs w:val="28"/>
        </w:rPr>
        <w:t>10. Management, reporting and monitoring</w:t>
      </w:r>
    </w:p>
    <w:p w14:paraId="76832A17" w14:textId="3CD9E716" w:rsidR="00911097" w:rsidRPr="0000142C" w:rsidRDefault="6EC02520" w:rsidP="006A439A">
      <w:pPr>
        <w:widowControl w:val="0"/>
        <w:tabs>
          <w:tab w:val="left" w:pos="804"/>
          <w:tab w:val="left" w:pos="805"/>
        </w:tabs>
        <w:spacing w:before="156" w:after="0" w:line="240" w:lineRule="auto"/>
        <w:ind w:right="-46"/>
        <w:jc w:val="both"/>
        <w:textAlignment w:val="baseline"/>
        <w:rPr>
          <w:rFonts w:ascii="Arial" w:eastAsia="Arial" w:hAnsi="Arial" w:cs="Arial"/>
          <w:color w:val="0E0E0E"/>
          <w:sz w:val="24"/>
          <w:szCs w:val="24"/>
          <w:lang w:val="en-US"/>
        </w:rPr>
      </w:pPr>
      <w:r w:rsidRPr="619AF99A">
        <w:rPr>
          <w:rFonts w:ascii="Arial" w:eastAsia="Arial" w:hAnsi="Arial" w:cs="Arial"/>
          <w:color w:val="0E0E0E"/>
          <w:sz w:val="24"/>
          <w:szCs w:val="24"/>
          <w:lang w:val="en-US"/>
        </w:rPr>
        <w:t xml:space="preserve">10.1 The portfolio’s performance will be reported through the RBC Brewin Dolphin Client Valuation and Asset Confirmation Report on a quarterly basis and commented </w:t>
      </w:r>
      <w:r w:rsidRPr="619AF99A">
        <w:rPr>
          <w:rFonts w:ascii="Arial" w:eastAsia="Arial" w:hAnsi="Arial" w:cs="Arial"/>
          <w:color w:val="0E0E0E"/>
          <w:sz w:val="24"/>
          <w:szCs w:val="24"/>
          <w:lang w:val="en-US"/>
        </w:rPr>
        <w:lastRenderedPageBreak/>
        <w:t xml:space="preserve">upon in the GOC financial performance summary which is shared with the Senior management Team, Audit Risk and Finance Committee and Council. The Client Valuation and Asset Confirmation Report will also be shared with Investment Committee members outside of committee. </w:t>
      </w:r>
    </w:p>
    <w:p w14:paraId="3DF3EC37" w14:textId="2B8BEE2D" w:rsidR="00911097" w:rsidRPr="0000142C" w:rsidRDefault="7DFB3E15" w:rsidP="006A439A">
      <w:pPr>
        <w:widowControl w:val="0"/>
        <w:tabs>
          <w:tab w:val="left" w:pos="804"/>
          <w:tab w:val="left" w:pos="805"/>
        </w:tabs>
        <w:spacing w:before="156" w:after="0" w:line="240" w:lineRule="auto"/>
        <w:ind w:right="-46"/>
        <w:jc w:val="both"/>
        <w:textAlignment w:val="baseline"/>
      </w:pPr>
      <w:r w:rsidRPr="619AF99A">
        <w:rPr>
          <w:rFonts w:ascii="Arial" w:eastAsia="Arial" w:hAnsi="Arial" w:cs="Arial"/>
          <w:color w:val="0E0E0E"/>
          <w:sz w:val="24"/>
          <w:szCs w:val="24"/>
          <w:lang w:val="en-US"/>
        </w:rPr>
        <w:t xml:space="preserve">10.2 </w:t>
      </w:r>
      <w:r w:rsidR="6EC02520" w:rsidRPr="619AF99A">
        <w:rPr>
          <w:rFonts w:ascii="Arial" w:eastAsia="Arial" w:hAnsi="Arial" w:cs="Arial"/>
          <w:color w:val="0E0E0E"/>
          <w:sz w:val="24"/>
          <w:szCs w:val="24"/>
          <w:lang w:val="en-US"/>
        </w:rPr>
        <w:t xml:space="preserve">Meetings between the designated investment officer and the investment manager will take place at least four times each year (with other contact and discussion as required). </w:t>
      </w:r>
      <w:r w:rsidR="00473AB5">
        <w:rPr>
          <w:rFonts w:ascii="Arial" w:eastAsia="Arial" w:hAnsi="Arial" w:cs="Arial"/>
          <w:color w:val="0E0E0E"/>
          <w:sz w:val="24"/>
          <w:szCs w:val="24"/>
          <w:lang w:val="en-US"/>
        </w:rPr>
        <w:t>The investment manager will also attend each Investment Committee meeting.</w:t>
      </w:r>
    </w:p>
    <w:p w14:paraId="04934C6A" w14:textId="7DE43FD7" w:rsidR="00911097" w:rsidRPr="0000142C" w:rsidRDefault="363D45B5" w:rsidP="006A439A">
      <w:pPr>
        <w:widowControl w:val="0"/>
        <w:tabs>
          <w:tab w:val="left" w:pos="804"/>
          <w:tab w:val="left" w:pos="805"/>
        </w:tabs>
        <w:spacing w:before="156" w:after="0" w:line="240" w:lineRule="auto"/>
        <w:ind w:right="-46"/>
        <w:jc w:val="both"/>
        <w:textAlignment w:val="baseline"/>
      </w:pPr>
      <w:r w:rsidRPr="54D45102">
        <w:rPr>
          <w:rFonts w:ascii="Arial" w:eastAsia="Arial" w:hAnsi="Arial" w:cs="Arial"/>
          <w:color w:val="0E0E0E"/>
          <w:sz w:val="24"/>
          <w:szCs w:val="24"/>
          <w:lang w:val="en-US"/>
        </w:rPr>
        <w:t xml:space="preserve">10.3 </w:t>
      </w:r>
      <w:r w:rsidR="6EC02520" w:rsidRPr="54D45102">
        <w:rPr>
          <w:rFonts w:ascii="Arial" w:eastAsia="Arial" w:hAnsi="Arial" w:cs="Arial"/>
          <w:color w:val="0E0E0E"/>
          <w:sz w:val="24"/>
          <w:szCs w:val="24"/>
          <w:lang w:val="en-US"/>
        </w:rPr>
        <w:t xml:space="preserve">Performance will be monitored against agreed market benchmarks, and against the investment objective of </w:t>
      </w:r>
      <w:r w:rsidR="63F4C082" w:rsidRPr="54D45102">
        <w:rPr>
          <w:rFonts w:ascii="Arial" w:eastAsia="Arial" w:hAnsi="Arial" w:cs="Arial"/>
          <w:color w:val="0E0E0E"/>
          <w:sz w:val="24"/>
          <w:szCs w:val="24"/>
          <w:lang w:val="en-US"/>
        </w:rPr>
        <w:t>a 7.3</w:t>
      </w:r>
      <w:r w:rsidR="6EC02520" w:rsidRPr="54D45102">
        <w:rPr>
          <w:rFonts w:ascii="Arial" w:eastAsia="Arial" w:hAnsi="Arial" w:cs="Arial"/>
          <w:color w:val="0E0E0E"/>
          <w:sz w:val="24"/>
          <w:szCs w:val="24"/>
          <w:lang w:val="en-US"/>
        </w:rPr>
        <w:t xml:space="preserve">% return over the long term. </w:t>
      </w:r>
    </w:p>
    <w:p w14:paraId="453464AF" w14:textId="122108E7" w:rsidR="00911097" w:rsidRDefault="6EC02520" w:rsidP="006A439A">
      <w:pPr>
        <w:widowControl w:val="0"/>
        <w:tabs>
          <w:tab w:val="left" w:pos="804"/>
          <w:tab w:val="left" w:pos="805"/>
        </w:tabs>
        <w:spacing w:before="156" w:after="0" w:line="240" w:lineRule="auto"/>
        <w:ind w:right="-46"/>
        <w:jc w:val="both"/>
        <w:textAlignment w:val="baseline"/>
        <w:rPr>
          <w:rFonts w:ascii="Arial" w:eastAsia="Arial" w:hAnsi="Arial" w:cs="Arial"/>
          <w:color w:val="0E0E0E"/>
          <w:sz w:val="24"/>
          <w:szCs w:val="24"/>
          <w:lang w:val="en-US"/>
        </w:rPr>
      </w:pPr>
      <w:r w:rsidRPr="619AF99A">
        <w:rPr>
          <w:rFonts w:ascii="Arial" w:eastAsia="Arial" w:hAnsi="Arial" w:cs="Arial"/>
          <w:color w:val="0E0E0E"/>
          <w:sz w:val="24"/>
          <w:szCs w:val="24"/>
          <w:lang w:val="en-US"/>
        </w:rPr>
        <w:t xml:space="preserve"> </w:t>
      </w:r>
      <w:r w:rsidR="07C5DA29" w:rsidRPr="619AF99A">
        <w:rPr>
          <w:rFonts w:ascii="Arial" w:eastAsia="Arial" w:hAnsi="Arial" w:cs="Arial"/>
          <w:color w:val="0E0E0E"/>
          <w:sz w:val="24"/>
          <w:szCs w:val="24"/>
          <w:lang w:val="en-US"/>
        </w:rPr>
        <w:t xml:space="preserve">10.4 </w:t>
      </w:r>
      <w:r w:rsidRPr="619AF99A">
        <w:rPr>
          <w:rFonts w:ascii="Arial" w:eastAsia="Arial" w:hAnsi="Arial" w:cs="Arial"/>
          <w:color w:val="0E0E0E"/>
          <w:sz w:val="24"/>
          <w:szCs w:val="24"/>
          <w:lang w:val="en-US"/>
        </w:rPr>
        <w:t>The assets will be held in the charity nominee arrangements of the appointed investment manager.</w:t>
      </w:r>
    </w:p>
    <w:p w14:paraId="689CBD95" w14:textId="77777777" w:rsidR="00FD3B4C" w:rsidRDefault="00FD3B4C" w:rsidP="006A439A">
      <w:pPr>
        <w:pBdr>
          <w:bottom w:val="single" w:sz="6" w:space="1" w:color="auto"/>
        </w:pBdr>
        <w:spacing w:after="0" w:line="240" w:lineRule="auto"/>
        <w:ind w:right="-46"/>
        <w:jc w:val="both"/>
        <w:textAlignment w:val="baseline"/>
        <w:rPr>
          <w:rFonts w:ascii="Rockwell" w:hAnsi="Rockwell"/>
          <w:color w:val="005694"/>
          <w:sz w:val="28"/>
          <w:szCs w:val="28"/>
        </w:rPr>
      </w:pPr>
    </w:p>
    <w:p w14:paraId="4799337D" w14:textId="77777777" w:rsidR="006A439A" w:rsidRDefault="006A439A" w:rsidP="006A439A">
      <w:pPr>
        <w:pBdr>
          <w:bottom w:val="single" w:sz="6" w:space="1" w:color="auto"/>
        </w:pBdr>
        <w:spacing w:after="0" w:line="240" w:lineRule="auto"/>
        <w:ind w:right="-46"/>
        <w:textAlignment w:val="baseline"/>
        <w:rPr>
          <w:rFonts w:ascii="Rockwell" w:hAnsi="Rockwell"/>
          <w:color w:val="005694"/>
          <w:sz w:val="28"/>
          <w:szCs w:val="28"/>
        </w:rPr>
      </w:pPr>
    </w:p>
    <w:p w14:paraId="05B74840" w14:textId="77777777" w:rsidR="006A439A" w:rsidRDefault="006A439A" w:rsidP="006A439A">
      <w:pPr>
        <w:pBdr>
          <w:bottom w:val="single" w:sz="6" w:space="1" w:color="auto"/>
        </w:pBdr>
        <w:spacing w:after="0" w:line="240" w:lineRule="auto"/>
        <w:ind w:right="-46"/>
        <w:textAlignment w:val="baseline"/>
        <w:rPr>
          <w:rFonts w:ascii="Rockwell" w:hAnsi="Rockwell"/>
          <w:color w:val="005694"/>
          <w:sz w:val="28"/>
          <w:szCs w:val="28"/>
        </w:rPr>
      </w:pPr>
    </w:p>
    <w:p w14:paraId="3C6087D8" w14:textId="4DB66064" w:rsidR="00911097" w:rsidRPr="0000142C" w:rsidRDefault="393A6237" w:rsidP="006A439A">
      <w:pPr>
        <w:pBdr>
          <w:bottom w:val="single" w:sz="6" w:space="1" w:color="auto"/>
        </w:pBdr>
        <w:spacing w:after="0" w:line="240" w:lineRule="auto"/>
        <w:ind w:right="-46"/>
        <w:textAlignment w:val="baseline"/>
        <w:rPr>
          <w:rFonts w:ascii="Rockwell" w:hAnsi="Rockwell"/>
          <w:color w:val="005694"/>
          <w:sz w:val="28"/>
          <w:szCs w:val="28"/>
        </w:rPr>
      </w:pPr>
      <w:r w:rsidRPr="619AF99A">
        <w:rPr>
          <w:rFonts w:ascii="Rockwell" w:hAnsi="Rockwell"/>
          <w:color w:val="005694"/>
          <w:sz w:val="28"/>
          <w:szCs w:val="28"/>
        </w:rPr>
        <w:t>11. Approval and review</w:t>
      </w:r>
    </w:p>
    <w:p w14:paraId="2B508856" w14:textId="635B8468" w:rsidR="00911097" w:rsidRPr="0000142C" w:rsidRDefault="393A6237" w:rsidP="006A439A">
      <w:pPr>
        <w:widowControl w:val="0"/>
        <w:tabs>
          <w:tab w:val="left" w:pos="805"/>
        </w:tabs>
        <w:spacing w:before="156" w:after="0" w:line="240" w:lineRule="auto"/>
        <w:ind w:right="-46"/>
        <w:jc w:val="both"/>
        <w:textAlignment w:val="baseline"/>
        <w:rPr>
          <w:rFonts w:ascii="Arial" w:eastAsia="Arial" w:hAnsi="Arial" w:cs="Arial"/>
          <w:sz w:val="24"/>
          <w:szCs w:val="24"/>
          <w:lang w:val="en-US"/>
        </w:rPr>
      </w:pPr>
      <w:r w:rsidRPr="619AF99A">
        <w:rPr>
          <w:rFonts w:ascii="Arial" w:eastAsia="Arial" w:hAnsi="Arial" w:cs="Arial"/>
          <w:color w:val="0E0E0E"/>
          <w:sz w:val="24"/>
          <w:szCs w:val="24"/>
          <w:lang w:val="en-US"/>
        </w:rPr>
        <w:t>11.</w:t>
      </w:r>
      <w:r w:rsidR="006A439A">
        <w:rPr>
          <w:rFonts w:ascii="Arial" w:eastAsia="Arial" w:hAnsi="Arial" w:cs="Arial"/>
          <w:color w:val="0E0E0E"/>
          <w:sz w:val="24"/>
          <w:szCs w:val="24"/>
          <w:lang w:val="en-US"/>
        </w:rPr>
        <w:t>1</w:t>
      </w:r>
      <w:r w:rsidRPr="619AF99A">
        <w:rPr>
          <w:rFonts w:ascii="Arial" w:eastAsia="Arial" w:hAnsi="Arial" w:cs="Arial"/>
          <w:color w:val="0E0E0E"/>
          <w:sz w:val="24"/>
          <w:szCs w:val="24"/>
          <w:lang w:val="en-US"/>
        </w:rPr>
        <w:t xml:space="preserve"> It will be reviewed by the Investment Committee on an annual basis to ensure continuing appropriateness </w:t>
      </w:r>
      <w:r w:rsidRPr="619AF99A">
        <w:rPr>
          <w:rFonts w:ascii="Arial" w:eastAsia="Arial" w:hAnsi="Arial" w:cs="Arial"/>
          <w:color w:val="000000" w:themeColor="text1"/>
          <w:sz w:val="24"/>
          <w:szCs w:val="24"/>
          <w:lang w:val="en-US"/>
        </w:rPr>
        <w:t>and revised every three years.</w:t>
      </w:r>
    </w:p>
    <w:p w14:paraId="4F45B8E7" w14:textId="2EE6DF02" w:rsidR="00911097" w:rsidRPr="0000142C" w:rsidRDefault="00911097" w:rsidP="004E2210">
      <w:pPr>
        <w:widowControl w:val="0"/>
        <w:tabs>
          <w:tab w:val="left" w:pos="804"/>
          <w:tab w:val="left" w:pos="805"/>
        </w:tabs>
        <w:spacing w:before="156" w:after="0" w:line="276" w:lineRule="auto"/>
        <w:ind w:right="-46"/>
        <w:textAlignment w:val="baseline"/>
        <w:rPr>
          <w:rFonts w:ascii="Arial" w:eastAsia="Arial" w:hAnsi="Arial" w:cs="Arial"/>
          <w:color w:val="0E0E0E"/>
          <w:sz w:val="24"/>
          <w:szCs w:val="24"/>
          <w:lang w:val="en-US"/>
        </w:rPr>
      </w:pPr>
    </w:p>
    <w:p w14:paraId="361BC4FC" w14:textId="5D3622F5" w:rsidR="00911097" w:rsidRPr="0000142C" w:rsidRDefault="00911097" w:rsidP="004E2210">
      <w:pPr>
        <w:widowControl w:val="0"/>
        <w:tabs>
          <w:tab w:val="left" w:pos="804"/>
          <w:tab w:val="left" w:pos="805"/>
        </w:tabs>
        <w:spacing w:after="0" w:line="276" w:lineRule="auto"/>
        <w:ind w:right="-46"/>
        <w:textAlignment w:val="baseline"/>
        <w:rPr>
          <w:rFonts w:ascii="Arial" w:eastAsia="Arial" w:hAnsi="Arial" w:cs="Arial"/>
          <w:color w:val="000000" w:themeColor="text1"/>
          <w:sz w:val="24"/>
          <w:szCs w:val="24"/>
          <w:lang w:val="en-US"/>
        </w:rPr>
      </w:pPr>
    </w:p>
    <w:p w14:paraId="47B062B4" w14:textId="275B8F71" w:rsidR="00911097" w:rsidRPr="0000142C" w:rsidRDefault="00911097" w:rsidP="004E2210">
      <w:pPr>
        <w:widowControl w:val="0"/>
        <w:tabs>
          <w:tab w:val="left" w:pos="804"/>
          <w:tab w:val="left" w:pos="805"/>
        </w:tabs>
        <w:spacing w:after="0" w:line="276" w:lineRule="auto"/>
        <w:ind w:left="804" w:right="-46" w:hanging="567"/>
        <w:textAlignment w:val="baseline"/>
        <w:rPr>
          <w:rFonts w:ascii="Arial" w:eastAsia="Arial" w:hAnsi="Arial" w:cs="Arial"/>
          <w:color w:val="000000" w:themeColor="text1"/>
          <w:sz w:val="24"/>
          <w:szCs w:val="24"/>
        </w:rPr>
      </w:pPr>
    </w:p>
    <w:p w14:paraId="62B50426" w14:textId="181335DA" w:rsidR="0000142C" w:rsidRPr="00FE1304" w:rsidRDefault="0000142C" w:rsidP="004E2210">
      <w:pPr>
        <w:pStyle w:val="paragraph"/>
        <w:spacing w:before="0" w:beforeAutospacing="0" w:after="0" w:afterAutospacing="0"/>
        <w:ind w:right="-46"/>
        <w:textAlignment w:val="baseline"/>
        <w:rPr>
          <w:sz w:val="10"/>
          <w:szCs w:val="10"/>
        </w:rPr>
      </w:pPr>
    </w:p>
    <w:sectPr w:rsidR="0000142C" w:rsidRPr="00FE13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D93CD" w14:textId="77777777" w:rsidR="007C1512" w:rsidRDefault="007C1512" w:rsidP="006461B3">
      <w:pPr>
        <w:spacing w:after="0" w:line="240" w:lineRule="auto"/>
      </w:pPr>
      <w:r>
        <w:separator/>
      </w:r>
    </w:p>
  </w:endnote>
  <w:endnote w:type="continuationSeparator" w:id="0">
    <w:p w14:paraId="3188A528" w14:textId="77777777" w:rsidR="007C1512" w:rsidRDefault="007C1512" w:rsidP="006461B3">
      <w:pPr>
        <w:spacing w:after="0" w:line="240" w:lineRule="auto"/>
      </w:pPr>
      <w:r>
        <w:continuationSeparator/>
      </w:r>
    </w:p>
  </w:endnote>
  <w:endnote w:type="continuationNotice" w:id="1">
    <w:p w14:paraId="1F1827EF" w14:textId="77777777" w:rsidR="007C1512" w:rsidRDefault="007C15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D9FAB" w14:textId="77777777" w:rsidR="007C1512" w:rsidRDefault="007C1512" w:rsidP="006461B3">
      <w:pPr>
        <w:spacing w:after="0" w:line="240" w:lineRule="auto"/>
      </w:pPr>
      <w:r>
        <w:separator/>
      </w:r>
    </w:p>
  </w:footnote>
  <w:footnote w:type="continuationSeparator" w:id="0">
    <w:p w14:paraId="11EB73B0" w14:textId="77777777" w:rsidR="007C1512" w:rsidRDefault="007C1512" w:rsidP="006461B3">
      <w:pPr>
        <w:spacing w:after="0" w:line="240" w:lineRule="auto"/>
      </w:pPr>
      <w:r>
        <w:continuationSeparator/>
      </w:r>
    </w:p>
  </w:footnote>
  <w:footnote w:type="continuationNotice" w:id="1">
    <w:p w14:paraId="781E6397" w14:textId="77777777" w:rsidR="007C1512" w:rsidRDefault="007C15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E4FDC"/>
    <w:multiLevelType w:val="hybridMultilevel"/>
    <w:tmpl w:val="EF82EDDA"/>
    <w:lvl w:ilvl="0" w:tplc="435C9F76">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573640"/>
    <w:multiLevelType w:val="hybridMultilevel"/>
    <w:tmpl w:val="F45AD7EC"/>
    <w:lvl w:ilvl="0" w:tplc="3BDCF852">
      <w:start w:val="1"/>
      <w:numFmt w:val="bullet"/>
      <w:lvlText w:val=""/>
      <w:lvlJc w:val="left"/>
      <w:pPr>
        <w:ind w:left="720" w:hanging="360"/>
      </w:pPr>
      <w:rPr>
        <w:rFonts w:ascii="Symbol" w:hAnsi="Symbol" w:hint="default"/>
      </w:rPr>
    </w:lvl>
    <w:lvl w:ilvl="1" w:tplc="EDA4654A">
      <w:start w:val="1"/>
      <w:numFmt w:val="bullet"/>
      <w:lvlText w:val="o"/>
      <w:lvlJc w:val="left"/>
      <w:pPr>
        <w:ind w:left="1440" w:hanging="360"/>
      </w:pPr>
      <w:rPr>
        <w:rFonts w:ascii="Courier New" w:hAnsi="Courier New" w:hint="default"/>
      </w:rPr>
    </w:lvl>
    <w:lvl w:ilvl="2" w:tplc="397EF9BA">
      <w:start w:val="1"/>
      <w:numFmt w:val="bullet"/>
      <w:lvlText w:val=""/>
      <w:lvlJc w:val="left"/>
      <w:pPr>
        <w:ind w:left="2160" w:hanging="360"/>
      </w:pPr>
      <w:rPr>
        <w:rFonts w:ascii="Wingdings" w:hAnsi="Wingdings" w:hint="default"/>
      </w:rPr>
    </w:lvl>
    <w:lvl w:ilvl="3" w:tplc="0CE625FA">
      <w:start w:val="1"/>
      <w:numFmt w:val="bullet"/>
      <w:lvlText w:val=""/>
      <w:lvlJc w:val="left"/>
      <w:pPr>
        <w:ind w:left="2880" w:hanging="360"/>
      </w:pPr>
      <w:rPr>
        <w:rFonts w:ascii="Symbol" w:hAnsi="Symbol" w:hint="default"/>
      </w:rPr>
    </w:lvl>
    <w:lvl w:ilvl="4" w:tplc="73145982">
      <w:start w:val="1"/>
      <w:numFmt w:val="bullet"/>
      <w:lvlText w:val="o"/>
      <w:lvlJc w:val="left"/>
      <w:pPr>
        <w:ind w:left="3600" w:hanging="360"/>
      </w:pPr>
      <w:rPr>
        <w:rFonts w:ascii="Courier New" w:hAnsi="Courier New" w:hint="default"/>
      </w:rPr>
    </w:lvl>
    <w:lvl w:ilvl="5" w:tplc="56649672">
      <w:start w:val="1"/>
      <w:numFmt w:val="bullet"/>
      <w:lvlText w:val=""/>
      <w:lvlJc w:val="left"/>
      <w:pPr>
        <w:ind w:left="4320" w:hanging="360"/>
      </w:pPr>
      <w:rPr>
        <w:rFonts w:ascii="Wingdings" w:hAnsi="Wingdings" w:hint="default"/>
      </w:rPr>
    </w:lvl>
    <w:lvl w:ilvl="6" w:tplc="33964D58">
      <w:start w:val="1"/>
      <w:numFmt w:val="bullet"/>
      <w:lvlText w:val=""/>
      <w:lvlJc w:val="left"/>
      <w:pPr>
        <w:ind w:left="5040" w:hanging="360"/>
      </w:pPr>
      <w:rPr>
        <w:rFonts w:ascii="Symbol" w:hAnsi="Symbol" w:hint="default"/>
      </w:rPr>
    </w:lvl>
    <w:lvl w:ilvl="7" w:tplc="91B666CC">
      <w:start w:val="1"/>
      <w:numFmt w:val="bullet"/>
      <w:lvlText w:val="o"/>
      <w:lvlJc w:val="left"/>
      <w:pPr>
        <w:ind w:left="5760" w:hanging="360"/>
      </w:pPr>
      <w:rPr>
        <w:rFonts w:ascii="Courier New" w:hAnsi="Courier New" w:hint="default"/>
      </w:rPr>
    </w:lvl>
    <w:lvl w:ilvl="8" w:tplc="F8CC6982">
      <w:start w:val="1"/>
      <w:numFmt w:val="bullet"/>
      <w:lvlText w:val=""/>
      <w:lvlJc w:val="left"/>
      <w:pPr>
        <w:ind w:left="6480" w:hanging="360"/>
      </w:pPr>
      <w:rPr>
        <w:rFonts w:ascii="Wingdings" w:hAnsi="Wingdings" w:hint="default"/>
      </w:rPr>
    </w:lvl>
  </w:abstractNum>
  <w:num w:numId="1" w16cid:durableId="887884967">
    <w:abstractNumId w:val="1"/>
  </w:num>
  <w:num w:numId="2" w16cid:durableId="7840886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31"/>
    <w:rsid w:val="0000142C"/>
    <w:rsid w:val="00006C4A"/>
    <w:rsid w:val="00015888"/>
    <w:rsid w:val="00025AB6"/>
    <w:rsid w:val="00095E6A"/>
    <w:rsid w:val="000A20A7"/>
    <w:rsid w:val="000B45C8"/>
    <w:rsid w:val="000B80B0"/>
    <w:rsid w:val="000D3A28"/>
    <w:rsid w:val="000F7C3E"/>
    <w:rsid w:val="00134318"/>
    <w:rsid w:val="001A18BB"/>
    <w:rsid w:val="001A4217"/>
    <w:rsid w:val="001B2F81"/>
    <w:rsid w:val="001C4C9D"/>
    <w:rsid w:val="001E2DB3"/>
    <w:rsid w:val="001F0E8E"/>
    <w:rsid w:val="002237B4"/>
    <w:rsid w:val="00235D50"/>
    <w:rsid w:val="00246FE9"/>
    <w:rsid w:val="0027187A"/>
    <w:rsid w:val="002831AF"/>
    <w:rsid w:val="002917BC"/>
    <w:rsid w:val="002C2BE3"/>
    <w:rsid w:val="002E0584"/>
    <w:rsid w:val="002E0A6C"/>
    <w:rsid w:val="002E491F"/>
    <w:rsid w:val="00301E65"/>
    <w:rsid w:val="003074A1"/>
    <w:rsid w:val="00356B76"/>
    <w:rsid w:val="00376190"/>
    <w:rsid w:val="003764C5"/>
    <w:rsid w:val="00381BF1"/>
    <w:rsid w:val="003E3DD3"/>
    <w:rsid w:val="003F7475"/>
    <w:rsid w:val="003F792F"/>
    <w:rsid w:val="004164D3"/>
    <w:rsid w:val="00422D05"/>
    <w:rsid w:val="004524DF"/>
    <w:rsid w:val="00457C46"/>
    <w:rsid w:val="00473AB5"/>
    <w:rsid w:val="0047677D"/>
    <w:rsid w:val="004A6E5B"/>
    <w:rsid w:val="004D0728"/>
    <w:rsid w:val="004D2BC4"/>
    <w:rsid w:val="004E2210"/>
    <w:rsid w:val="0052463D"/>
    <w:rsid w:val="00526D0C"/>
    <w:rsid w:val="00554B06"/>
    <w:rsid w:val="00557EF5"/>
    <w:rsid w:val="005B507E"/>
    <w:rsid w:val="005D51AB"/>
    <w:rsid w:val="005D6519"/>
    <w:rsid w:val="005E6B0B"/>
    <w:rsid w:val="006461B3"/>
    <w:rsid w:val="0066179D"/>
    <w:rsid w:val="00675B93"/>
    <w:rsid w:val="00681EC5"/>
    <w:rsid w:val="006A439A"/>
    <w:rsid w:val="006B388E"/>
    <w:rsid w:val="006E2BFE"/>
    <w:rsid w:val="006F7133"/>
    <w:rsid w:val="00713FEE"/>
    <w:rsid w:val="0073233B"/>
    <w:rsid w:val="00782EC9"/>
    <w:rsid w:val="00784755"/>
    <w:rsid w:val="00794DEA"/>
    <w:rsid w:val="007A0ABF"/>
    <w:rsid w:val="007A4FB3"/>
    <w:rsid w:val="007C1512"/>
    <w:rsid w:val="007F33D0"/>
    <w:rsid w:val="007F5722"/>
    <w:rsid w:val="00802C4E"/>
    <w:rsid w:val="008108A3"/>
    <w:rsid w:val="00827C13"/>
    <w:rsid w:val="00894E4D"/>
    <w:rsid w:val="008B6B8B"/>
    <w:rsid w:val="008C3F10"/>
    <w:rsid w:val="008D6970"/>
    <w:rsid w:val="008E59B0"/>
    <w:rsid w:val="00907455"/>
    <w:rsid w:val="0091032F"/>
    <w:rsid w:val="00911097"/>
    <w:rsid w:val="0091494A"/>
    <w:rsid w:val="00930249"/>
    <w:rsid w:val="009361A8"/>
    <w:rsid w:val="009515F9"/>
    <w:rsid w:val="00952033"/>
    <w:rsid w:val="00980327"/>
    <w:rsid w:val="009C47B4"/>
    <w:rsid w:val="00A63191"/>
    <w:rsid w:val="00A6425A"/>
    <w:rsid w:val="00A65C5A"/>
    <w:rsid w:val="00A84B6D"/>
    <w:rsid w:val="00AA16DE"/>
    <w:rsid w:val="00AC136E"/>
    <w:rsid w:val="00AC3757"/>
    <w:rsid w:val="00B04466"/>
    <w:rsid w:val="00B04B94"/>
    <w:rsid w:val="00B05061"/>
    <w:rsid w:val="00B57743"/>
    <w:rsid w:val="00B70D9A"/>
    <w:rsid w:val="00B801BB"/>
    <w:rsid w:val="00B970BB"/>
    <w:rsid w:val="00BB2B31"/>
    <w:rsid w:val="00C03118"/>
    <w:rsid w:val="00C16300"/>
    <w:rsid w:val="00C3429F"/>
    <w:rsid w:val="00C43241"/>
    <w:rsid w:val="00C43F03"/>
    <w:rsid w:val="00C7720C"/>
    <w:rsid w:val="00C81CBE"/>
    <w:rsid w:val="00C84C43"/>
    <w:rsid w:val="00CA24DC"/>
    <w:rsid w:val="00CA58D2"/>
    <w:rsid w:val="00CC44C0"/>
    <w:rsid w:val="00CE2357"/>
    <w:rsid w:val="00D24CAD"/>
    <w:rsid w:val="00D258BD"/>
    <w:rsid w:val="00D53808"/>
    <w:rsid w:val="00D70235"/>
    <w:rsid w:val="00D933DB"/>
    <w:rsid w:val="00D97A57"/>
    <w:rsid w:val="00DC011A"/>
    <w:rsid w:val="00DE22A4"/>
    <w:rsid w:val="00DF5009"/>
    <w:rsid w:val="00E05B2D"/>
    <w:rsid w:val="00E205F6"/>
    <w:rsid w:val="00E61508"/>
    <w:rsid w:val="00E87864"/>
    <w:rsid w:val="00EB1B6B"/>
    <w:rsid w:val="00ED293D"/>
    <w:rsid w:val="00ED3A26"/>
    <w:rsid w:val="00ED3CE1"/>
    <w:rsid w:val="00EE181F"/>
    <w:rsid w:val="00F333BE"/>
    <w:rsid w:val="00F4429B"/>
    <w:rsid w:val="00F636C0"/>
    <w:rsid w:val="00F7426D"/>
    <w:rsid w:val="00F8077C"/>
    <w:rsid w:val="00FD0E57"/>
    <w:rsid w:val="00FD3B4C"/>
    <w:rsid w:val="00FE1304"/>
    <w:rsid w:val="00FE4341"/>
    <w:rsid w:val="00FF41B0"/>
    <w:rsid w:val="0361F260"/>
    <w:rsid w:val="03B4F661"/>
    <w:rsid w:val="055DC6EE"/>
    <w:rsid w:val="0674FDB6"/>
    <w:rsid w:val="06F2D6D6"/>
    <w:rsid w:val="07C5DA29"/>
    <w:rsid w:val="08539511"/>
    <w:rsid w:val="092EAC4F"/>
    <w:rsid w:val="098FCEEE"/>
    <w:rsid w:val="0E65F847"/>
    <w:rsid w:val="1008ACFC"/>
    <w:rsid w:val="14486484"/>
    <w:rsid w:val="146BB84A"/>
    <w:rsid w:val="15165CD7"/>
    <w:rsid w:val="15FDAE7A"/>
    <w:rsid w:val="161FE3A1"/>
    <w:rsid w:val="16C92DB5"/>
    <w:rsid w:val="17D394B4"/>
    <w:rsid w:val="18FAD79C"/>
    <w:rsid w:val="190F4CBE"/>
    <w:rsid w:val="1B624EF4"/>
    <w:rsid w:val="1DF97233"/>
    <w:rsid w:val="2030CFC1"/>
    <w:rsid w:val="21714F1F"/>
    <w:rsid w:val="228AA05E"/>
    <w:rsid w:val="238CEA31"/>
    <w:rsid w:val="23DE0222"/>
    <w:rsid w:val="26F4BB36"/>
    <w:rsid w:val="2A2FE7CD"/>
    <w:rsid w:val="2A68049B"/>
    <w:rsid w:val="2D683632"/>
    <w:rsid w:val="2DB13E68"/>
    <w:rsid w:val="3252FC38"/>
    <w:rsid w:val="32FB008D"/>
    <w:rsid w:val="330C3002"/>
    <w:rsid w:val="3438DEE4"/>
    <w:rsid w:val="357D9E7E"/>
    <w:rsid w:val="363D45B5"/>
    <w:rsid w:val="36B982D5"/>
    <w:rsid w:val="3838235D"/>
    <w:rsid w:val="38436611"/>
    <w:rsid w:val="38AA3B36"/>
    <w:rsid w:val="393A6237"/>
    <w:rsid w:val="3978888B"/>
    <w:rsid w:val="3EAF42FE"/>
    <w:rsid w:val="3EC8ADB7"/>
    <w:rsid w:val="3EFBF4A2"/>
    <w:rsid w:val="41F965F4"/>
    <w:rsid w:val="44EA5E60"/>
    <w:rsid w:val="465FCCFF"/>
    <w:rsid w:val="48DC6AC8"/>
    <w:rsid w:val="499A640B"/>
    <w:rsid w:val="4AE5316E"/>
    <w:rsid w:val="4C80027C"/>
    <w:rsid w:val="4DBAB21A"/>
    <w:rsid w:val="4E9A8B8F"/>
    <w:rsid w:val="4EB9B37D"/>
    <w:rsid w:val="510489D2"/>
    <w:rsid w:val="517FD727"/>
    <w:rsid w:val="52A05A33"/>
    <w:rsid w:val="53463D8D"/>
    <w:rsid w:val="543C2A94"/>
    <w:rsid w:val="54D45102"/>
    <w:rsid w:val="55D7FAF5"/>
    <w:rsid w:val="561F68B5"/>
    <w:rsid w:val="58C5ABE7"/>
    <w:rsid w:val="59B57F11"/>
    <w:rsid w:val="5C23FC82"/>
    <w:rsid w:val="5C2E79BE"/>
    <w:rsid w:val="5C56D77B"/>
    <w:rsid w:val="5D447B3E"/>
    <w:rsid w:val="5D6CEA84"/>
    <w:rsid w:val="5D899D32"/>
    <w:rsid w:val="5EE029A7"/>
    <w:rsid w:val="5F1F5AED"/>
    <w:rsid w:val="5FA20FA6"/>
    <w:rsid w:val="600F240D"/>
    <w:rsid w:val="60A48B46"/>
    <w:rsid w:val="60F76DA5"/>
    <w:rsid w:val="619AF99A"/>
    <w:rsid w:val="62933E06"/>
    <w:rsid w:val="63F4C082"/>
    <w:rsid w:val="661A9D09"/>
    <w:rsid w:val="6744424E"/>
    <w:rsid w:val="685252C0"/>
    <w:rsid w:val="6B9EB27F"/>
    <w:rsid w:val="6C40A29E"/>
    <w:rsid w:val="6D1446B7"/>
    <w:rsid w:val="6EC020E1"/>
    <w:rsid w:val="6EC02520"/>
    <w:rsid w:val="6FB465F9"/>
    <w:rsid w:val="704980CB"/>
    <w:rsid w:val="706F9B9B"/>
    <w:rsid w:val="769C76E1"/>
    <w:rsid w:val="76EF5352"/>
    <w:rsid w:val="772F2119"/>
    <w:rsid w:val="77B7CEE6"/>
    <w:rsid w:val="7821924C"/>
    <w:rsid w:val="7A0C3471"/>
    <w:rsid w:val="7A994D8A"/>
    <w:rsid w:val="7ACB6F50"/>
    <w:rsid w:val="7DFB3E15"/>
    <w:rsid w:val="7FD0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7744"/>
  <w15:chartTrackingRefBased/>
  <w15:docId w15:val="{FAA9BE9D-3488-45E0-9587-AF128B3C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Main title"/>
    <w:basedOn w:val="Normal"/>
    <w:next w:val="Normal"/>
    <w:link w:val="Heading1Char"/>
    <w:autoRedefine/>
    <w:uiPriority w:val="9"/>
    <w:qFormat/>
    <w:rsid w:val="00BB2B31"/>
    <w:pPr>
      <w:keepNext/>
      <w:keepLines/>
      <w:spacing w:before="240" w:after="0"/>
      <w:outlineLvl w:val="0"/>
    </w:pPr>
    <w:rPr>
      <w:rFonts w:ascii="Rockwell" w:eastAsiaTheme="majorEastAsia" w:hAnsi="Rockwell" w:cstheme="majorBidi"/>
      <w:color w:val="2F5496" w:themeColor="accent1" w:themeShade="BF"/>
      <w:sz w:val="48"/>
      <w:szCs w:val="32"/>
    </w:rPr>
  </w:style>
  <w:style w:type="paragraph" w:styleId="Heading2">
    <w:name w:val="heading 2"/>
    <w:aliases w:val="Title Subheader"/>
    <w:basedOn w:val="Normal"/>
    <w:next w:val="Normal"/>
    <w:link w:val="Heading2Char"/>
    <w:autoRedefine/>
    <w:uiPriority w:val="9"/>
    <w:unhideWhenUsed/>
    <w:qFormat/>
    <w:rsid w:val="005E6B0B"/>
    <w:pPr>
      <w:keepNext/>
      <w:keepLines/>
      <w:spacing w:before="40" w:after="0"/>
      <w:outlineLvl w:val="1"/>
    </w:pPr>
    <w:rPr>
      <w:rFonts w:ascii="Rockwell" w:eastAsiaTheme="majorEastAsia" w:hAnsi="Rockwell" w:cstheme="majorBidi"/>
      <w:sz w:val="32"/>
      <w:szCs w:val="26"/>
    </w:rPr>
  </w:style>
  <w:style w:type="paragraph" w:styleId="Heading3">
    <w:name w:val="heading 3"/>
    <w:aliases w:val="Section header"/>
    <w:basedOn w:val="Normal"/>
    <w:next w:val="Normal"/>
    <w:link w:val="Heading3Char"/>
    <w:autoRedefine/>
    <w:uiPriority w:val="9"/>
    <w:unhideWhenUsed/>
    <w:qFormat/>
    <w:rsid w:val="00F7426D"/>
    <w:pPr>
      <w:keepNext/>
      <w:keepLines/>
      <w:spacing w:before="40" w:after="0"/>
      <w:outlineLvl w:val="2"/>
    </w:pPr>
    <w:rPr>
      <w:rFonts w:ascii="Rockwell" w:eastAsiaTheme="majorEastAsia" w:hAnsi="Rockwell" w:cstheme="majorBidi"/>
      <w:color w:val="005694"/>
      <w:sz w:val="28"/>
      <w:szCs w:val="24"/>
    </w:rPr>
  </w:style>
  <w:style w:type="paragraph" w:styleId="Heading4">
    <w:name w:val="heading 4"/>
    <w:basedOn w:val="Normal"/>
    <w:next w:val="Normal"/>
    <w:link w:val="Heading4Char"/>
    <w:uiPriority w:val="9"/>
    <w:unhideWhenUsed/>
    <w:rsid w:val="002831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title Char"/>
    <w:basedOn w:val="DefaultParagraphFont"/>
    <w:link w:val="Heading1"/>
    <w:uiPriority w:val="9"/>
    <w:rsid w:val="00BB2B31"/>
    <w:rPr>
      <w:rFonts w:ascii="Rockwell" w:eastAsiaTheme="majorEastAsia" w:hAnsi="Rockwell" w:cstheme="majorBidi"/>
      <w:color w:val="2F5496" w:themeColor="accent1" w:themeShade="BF"/>
      <w:sz w:val="48"/>
      <w:szCs w:val="32"/>
    </w:rPr>
  </w:style>
  <w:style w:type="character" w:customStyle="1" w:styleId="Heading2Char">
    <w:name w:val="Heading 2 Char"/>
    <w:aliases w:val="Title Subheader Char"/>
    <w:basedOn w:val="DefaultParagraphFont"/>
    <w:link w:val="Heading2"/>
    <w:uiPriority w:val="9"/>
    <w:rsid w:val="005E6B0B"/>
    <w:rPr>
      <w:rFonts w:ascii="Rockwell" w:eastAsiaTheme="majorEastAsia" w:hAnsi="Rockwell" w:cstheme="majorBidi"/>
      <w:sz w:val="32"/>
      <w:szCs w:val="26"/>
    </w:rPr>
  </w:style>
  <w:style w:type="character" w:customStyle="1" w:styleId="normaltextrun">
    <w:name w:val="normaltextrun"/>
    <w:basedOn w:val="DefaultParagraphFont"/>
    <w:rsid w:val="005E6B0B"/>
  </w:style>
  <w:style w:type="character" w:customStyle="1" w:styleId="eop">
    <w:name w:val="eop"/>
    <w:basedOn w:val="DefaultParagraphFont"/>
    <w:rsid w:val="005E6B0B"/>
  </w:style>
  <w:style w:type="paragraph" w:styleId="ListParagraph">
    <w:name w:val="List Paragraph"/>
    <w:basedOn w:val="Normal"/>
    <w:link w:val="ListParagraphChar"/>
    <w:uiPriority w:val="34"/>
    <w:rsid w:val="00F7426D"/>
    <w:pPr>
      <w:ind w:left="720"/>
      <w:contextualSpacing/>
    </w:pPr>
  </w:style>
  <w:style w:type="character" w:customStyle="1" w:styleId="Heading3Char">
    <w:name w:val="Heading 3 Char"/>
    <w:aliases w:val="Section header Char"/>
    <w:basedOn w:val="DefaultParagraphFont"/>
    <w:link w:val="Heading3"/>
    <w:uiPriority w:val="9"/>
    <w:rsid w:val="00F7426D"/>
    <w:rPr>
      <w:rFonts w:ascii="Rockwell" w:eastAsiaTheme="majorEastAsia" w:hAnsi="Rockwell" w:cstheme="majorBidi"/>
      <w:color w:val="005694"/>
      <w:sz w:val="28"/>
      <w:szCs w:val="24"/>
    </w:rPr>
  </w:style>
  <w:style w:type="paragraph" w:customStyle="1" w:styleId="paragraph">
    <w:name w:val="paragraph"/>
    <w:basedOn w:val="Normal"/>
    <w:rsid w:val="00D24C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D24CAD"/>
  </w:style>
  <w:style w:type="paragraph" w:styleId="FootnoteText">
    <w:name w:val="footnote text"/>
    <w:basedOn w:val="Normal"/>
    <w:link w:val="FootnoteTextChar"/>
    <w:uiPriority w:val="99"/>
    <w:semiHidden/>
    <w:unhideWhenUsed/>
    <w:rsid w:val="00646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61B3"/>
    <w:rPr>
      <w:sz w:val="20"/>
      <w:szCs w:val="20"/>
    </w:rPr>
  </w:style>
  <w:style w:type="character" w:styleId="FootnoteReference">
    <w:name w:val="footnote reference"/>
    <w:basedOn w:val="DefaultParagraphFont"/>
    <w:uiPriority w:val="99"/>
    <w:semiHidden/>
    <w:unhideWhenUsed/>
    <w:rsid w:val="006461B3"/>
    <w:rPr>
      <w:vertAlign w:val="superscript"/>
    </w:rPr>
  </w:style>
  <w:style w:type="character" w:styleId="Hyperlink">
    <w:name w:val="Hyperlink"/>
    <w:basedOn w:val="DefaultParagraphFont"/>
    <w:uiPriority w:val="99"/>
    <w:unhideWhenUsed/>
    <w:rsid w:val="009515F9"/>
    <w:rPr>
      <w:color w:val="0563C1" w:themeColor="hyperlink"/>
      <w:u w:val="single"/>
    </w:rPr>
  </w:style>
  <w:style w:type="character" w:styleId="UnresolvedMention">
    <w:name w:val="Unresolved Mention"/>
    <w:basedOn w:val="DefaultParagraphFont"/>
    <w:uiPriority w:val="99"/>
    <w:semiHidden/>
    <w:unhideWhenUsed/>
    <w:rsid w:val="009515F9"/>
    <w:rPr>
      <w:color w:val="605E5C"/>
      <w:shd w:val="clear" w:color="auto" w:fill="E1DFDD"/>
    </w:rPr>
  </w:style>
  <w:style w:type="table" w:styleId="TableGrid">
    <w:name w:val="Table Grid"/>
    <w:basedOn w:val="TableNormal"/>
    <w:uiPriority w:val="39"/>
    <w:rsid w:val="00907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2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2DB3"/>
  </w:style>
  <w:style w:type="paragraph" w:styleId="Footer">
    <w:name w:val="footer"/>
    <w:basedOn w:val="Normal"/>
    <w:link w:val="FooterChar"/>
    <w:uiPriority w:val="99"/>
    <w:unhideWhenUsed/>
    <w:rsid w:val="001E2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2DB3"/>
  </w:style>
  <w:style w:type="character" w:customStyle="1" w:styleId="Heading4Char">
    <w:name w:val="Heading 4 Char"/>
    <w:basedOn w:val="DefaultParagraphFont"/>
    <w:link w:val="Heading4"/>
    <w:uiPriority w:val="9"/>
    <w:rsid w:val="002831AF"/>
    <w:rPr>
      <w:rFonts w:asciiTheme="majorHAnsi" w:eastAsiaTheme="majorEastAsia" w:hAnsiTheme="majorHAnsi" w:cstheme="majorBidi"/>
      <w:i/>
      <w:iCs/>
      <w:color w:val="2F5496" w:themeColor="accent1" w:themeShade="BF"/>
    </w:rPr>
  </w:style>
  <w:style w:type="paragraph" w:styleId="Title">
    <w:name w:val="Title"/>
    <w:aliases w:val="Body text"/>
    <w:basedOn w:val="Normal"/>
    <w:next w:val="Normal"/>
    <w:link w:val="TitleChar"/>
    <w:autoRedefine/>
    <w:uiPriority w:val="10"/>
    <w:qFormat/>
    <w:rsid w:val="002831AF"/>
    <w:pPr>
      <w:spacing w:after="0" w:line="240" w:lineRule="auto"/>
      <w:contextualSpacing/>
    </w:pPr>
    <w:rPr>
      <w:rFonts w:ascii="Arial" w:eastAsiaTheme="majorEastAsia" w:hAnsi="Arial" w:cstheme="majorBidi"/>
      <w:spacing w:val="-10"/>
      <w:kern w:val="28"/>
      <w:sz w:val="24"/>
      <w:szCs w:val="56"/>
    </w:rPr>
  </w:style>
  <w:style w:type="character" w:customStyle="1" w:styleId="TitleChar">
    <w:name w:val="Title Char"/>
    <w:aliases w:val="Body text Char"/>
    <w:basedOn w:val="DefaultParagraphFont"/>
    <w:link w:val="Title"/>
    <w:uiPriority w:val="10"/>
    <w:rsid w:val="002831AF"/>
    <w:rPr>
      <w:rFonts w:ascii="Arial" w:eastAsiaTheme="majorEastAsia" w:hAnsi="Arial" w:cstheme="majorBidi"/>
      <w:spacing w:val="-10"/>
      <w:kern w:val="28"/>
      <w:sz w:val="24"/>
      <w:szCs w:val="56"/>
    </w:rPr>
  </w:style>
  <w:style w:type="paragraph" w:customStyle="1" w:styleId="Bullets">
    <w:name w:val="Bullets"/>
    <w:basedOn w:val="ListParagraph"/>
    <w:link w:val="BulletsChar"/>
    <w:qFormat/>
    <w:rsid w:val="002831AF"/>
    <w:pPr>
      <w:numPr>
        <w:numId w:val="2"/>
      </w:numPr>
    </w:pPr>
    <w:rPr>
      <w:rFonts w:ascii="Arial" w:hAnsi="Arial" w:cs="Arial"/>
      <w:sz w:val="24"/>
      <w:szCs w:val="24"/>
    </w:rPr>
  </w:style>
  <w:style w:type="paragraph" w:customStyle="1" w:styleId="FootnoteText1">
    <w:name w:val="Footnote Text1"/>
    <w:basedOn w:val="FootnoteText"/>
    <w:link w:val="FootnotetextChar0"/>
    <w:qFormat/>
    <w:rsid w:val="005D51AB"/>
    <w:rPr>
      <w:rFonts w:ascii="Arial" w:hAnsi="Arial" w:cs="Arial"/>
      <w:sz w:val="18"/>
      <w:szCs w:val="18"/>
    </w:rPr>
  </w:style>
  <w:style w:type="character" w:customStyle="1" w:styleId="ListParagraphChar">
    <w:name w:val="List Paragraph Char"/>
    <w:basedOn w:val="DefaultParagraphFont"/>
    <w:link w:val="ListParagraph"/>
    <w:uiPriority w:val="34"/>
    <w:rsid w:val="002831AF"/>
  </w:style>
  <w:style w:type="character" w:customStyle="1" w:styleId="BulletsChar">
    <w:name w:val="Bullets Char"/>
    <w:basedOn w:val="ListParagraphChar"/>
    <w:link w:val="Bullets"/>
    <w:rsid w:val="002831AF"/>
    <w:rPr>
      <w:rFonts w:ascii="Arial" w:hAnsi="Arial" w:cs="Arial"/>
      <w:sz w:val="24"/>
      <w:szCs w:val="24"/>
    </w:rPr>
  </w:style>
  <w:style w:type="paragraph" w:customStyle="1" w:styleId="Table">
    <w:name w:val="Table"/>
    <w:basedOn w:val="Normal"/>
    <w:link w:val="TableChar"/>
    <w:autoRedefine/>
    <w:qFormat/>
    <w:rsid w:val="003074A1"/>
    <w:pPr>
      <w:spacing w:after="0" w:line="240" w:lineRule="auto"/>
    </w:pPr>
    <w:rPr>
      <w:rFonts w:ascii="Arial" w:hAnsi="Arial"/>
      <w:sz w:val="24"/>
    </w:rPr>
  </w:style>
  <w:style w:type="character" w:customStyle="1" w:styleId="FootnotetextChar0">
    <w:name w:val="Footnote text Char"/>
    <w:basedOn w:val="FootnoteTextChar"/>
    <w:link w:val="FootnoteText1"/>
    <w:rsid w:val="005D51AB"/>
    <w:rPr>
      <w:rFonts w:ascii="Arial" w:hAnsi="Arial" w:cs="Arial"/>
      <w:sz w:val="18"/>
      <w:szCs w:val="18"/>
    </w:rPr>
  </w:style>
  <w:style w:type="character" w:customStyle="1" w:styleId="TableChar">
    <w:name w:val="Table Char"/>
    <w:basedOn w:val="DefaultParagraphFont"/>
    <w:link w:val="Table"/>
    <w:rsid w:val="003074A1"/>
    <w:rPr>
      <w:rFonts w:ascii="Arial" w:hAnsi="Arial"/>
      <w:sz w:val="24"/>
    </w:rPr>
  </w:style>
  <w:style w:type="paragraph" w:customStyle="1" w:styleId="TableParagraph">
    <w:name w:val="Table Paragraph"/>
    <w:basedOn w:val="Normal"/>
    <w:uiPriority w:val="1"/>
    <w:qFormat/>
    <w:rsid w:val="619AF99A"/>
    <w:pPr>
      <w:widowControl w:val="0"/>
      <w:spacing w:line="274" w:lineRule="exact"/>
      <w:ind w:left="108"/>
    </w:pPr>
    <w:rPr>
      <w:rFonts w:ascii="Arial" w:eastAsia="Arial" w:hAnsi="Arial" w:cs="Arial"/>
    </w:rPr>
  </w:style>
  <w:style w:type="paragraph" w:styleId="Revision">
    <w:name w:val="Revision"/>
    <w:hidden/>
    <w:uiPriority w:val="99"/>
    <w:semiHidden/>
    <w:rsid w:val="009803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04908">
      <w:bodyDiv w:val="1"/>
      <w:marLeft w:val="0"/>
      <w:marRight w:val="0"/>
      <w:marTop w:val="0"/>
      <w:marBottom w:val="0"/>
      <w:divBdr>
        <w:top w:val="none" w:sz="0" w:space="0" w:color="auto"/>
        <w:left w:val="none" w:sz="0" w:space="0" w:color="auto"/>
        <w:bottom w:val="none" w:sz="0" w:space="0" w:color="auto"/>
        <w:right w:val="none" w:sz="0" w:space="0" w:color="auto"/>
      </w:divBdr>
      <w:divsChild>
        <w:div w:id="135227838">
          <w:marLeft w:val="0"/>
          <w:marRight w:val="0"/>
          <w:marTop w:val="0"/>
          <w:marBottom w:val="0"/>
          <w:divBdr>
            <w:top w:val="none" w:sz="0" w:space="0" w:color="auto"/>
            <w:left w:val="none" w:sz="0" w:space="0" w:color="auto"/>
            <w:bottom w:val="none" w:sz="0" w:space="0" w:color="auto"/>
            <w:right w:val="none" w:sz="0" w:space="0" w:color="auto"/>
          </w:divBdr>
          <w:divsChild>
            <w:div w:id="556356153">
              <w:marLeft w:val="0"/>
              <w:marRight w:val="0"/>
              <w:marTop w:val="0"/>
              <w:marBottom w:val="0"/>
              <w:divBdr>
                <w:top w:val="none" w:sz="0" w:space="0" w:color="auto"/>
                <w:left w:val="none" w:sz="0" w:space="0" w:color="auto"/>
                <w:bottom w:val="none" w:sz="0" w:space="0" w:color="auto"/>
                <w:right w:val="none" w:sz="0" w:space="0" w:color="auto"/>
              </w:divBdr>
            </w:div>
            <w:div w:id="1314682725">
              <w:marLeft w:val="0"/>
              <w:marRight w:val="0"/>
              <w:marTop w:val="0"/>
              <w:marBottom w:val="0"/>
              <w:divBdr>
                <w:top w:val="none" w:sz="0" w:space="0" w:color="auto"/>
                <w:left w:val="none" w:sz="0" w:space="0" w:color="auto"/>
                <w:bottom w:val="none" w:sz="0" w:space="0" w:color="auto"/>
                <w:right w:val="none" w:sz="0" w:space="0" w:color="auto"/>
              </w:divBdr>
            </w:div>
            <w:div w:id="1805191327">
              <w:marLeft w:val="0"/>
              <w:marRight w:val="0"/>
              <w:marTop w:val="0"/>
              <w:marBottom w:val="0"/>
              <w:divBdr>
                <w:top w:val="none" w:sz="0" w:space="0" w:color="auto"/>
                <w:left w:val="none" w:sz="0" w:space="0" w:color="auto"/>
                <w:bottom w:val="none" w:sz="0" w:space="0" w:color="auto"/>
                <w:right w:val="none" w:sz="0" w:space="0" w:color="auto"/>
              </w:divBdr>
            </w:div>
            <w:div w:id="2115323748">
              <w:marLeft w:val="0"/>
              <w:marRight w:val="0"/>
              <w:marTop w:val="0"/>
              <w:marBottom w:val="0"/>
              <w:divBdr>
                <w:top w:val="none" w:sz="0" w:space="0" w:color="auto"/>
                <w:left w:val="none" w:sz="0" w:space="0" w:color="auto"/>
                <w:bottom w:val="none" w:sz="0" w:space="0" w:color="auto"/>
                <w:right w:val="none" w:sz="0" w:space="0" w:color="auto"/>
              </w:divBdr>
            </w:div>
          </w:divsChild>
        </w:div>
        <w:div w:id="611546682">
          <w:marLeft w:val="0"/>
          <w:marRight w:val="0"/>
          <w:marTop w:val="0"/>
          <w:marBottom w:val="0"/>
          <w:divBdr>
            <w:top w:val="none" w:sz="0" w:space="0" w:color="auto"/>
            <w:left w:val="none" w:sz="0" w:space="0" w:color="auto"/>
            <w:bottom w:val="none" w:sz="0" w:space="0" w:color="auto"/>
            <w:right w:val="none" w:sz="0" w:space="0" w:color="auto"/>
          </w:divBdr>
        </w:div>
        <w:div w:id="1048528293">
          <w:marLeft w:val="0"/>
          <w:marRight w:val="0"/>
          <w:marTop w:val="0"/>
          <w:marBottom w:val="0"/>
          <w:divBdr>
            <w:top w:val="none" w:sz="0" w:space="0" w:color="auto"/>
            <w:left w:val="none" w:sz="0" w:space="0" w:color="auto"/>
            <w:bottom w:val="none" w:sz="0" w:space="0" w:color="auto"/>
            <w:right w:val="none" w:sz="0" w:space="0" w:color="auto"/>
          </w:divBdr>
        </w:div>
        <w:div w:id="1094203360">
          <w:marLeft w:val="0"/>
          <w:marRight w:val="0"/>
          <w:marTop w:val="0"/>
          <w:marBottom w:val="0"/>
          <w:divBdr>
            <w:top w:val="none" w:sz="0" w:space="0" w:color="auto"/>
            <w:left w:val="none" w:sz="0" w:space="0" w:color="auto"/>
            <w:bottom w:val="none" w:sz="0" w:space="0" w:color="auto"/>
            <w:right w:val="none" w:sz="0" w:space="0" w:color="auto"/>
          </w:divBdr>
          <w:divsChild>
            <w:div w:id="503782093">
              <w:marLeft w:val="0"/>
              <w:marRight w:val="0"/>
              <w:marTop w:val="0"/>
              <w:marBottom w:val="0"/>
              <w:divBdr>
                <w:top w:val="none" w:sz="0" w:space="0" w:color="auto"/>
                <w:left w:val="none" w:sz="0" w:space="0" w:color="auto"/>
                <w:bottom w:val="none" w:sz="0" w:space="0" w:color="auto"/>
                <w:right w:val="none" w:sz="0" w:space="0" w:color="auto"/>
              </w:divBdr>
            </w:div>
          </w:divsChild>
        </w:div>
        <w:div w:id="1496532717">
          <w:marLeft w:val="0"/>
          <w:marRight w:val="0"/>
          <w:marTop w:val="0"/>
          <w:marBottom w:val="0"/>
          <w:divBdr>
            <w:top w:val="none" w:sz="0" w:space="0" w:color="auto"/>
            <w:left w:val="none" w:sz="0" w:space="0" w:color="auto"/>
            <w:bottom w:val="none" w:sz="0" w:space="0" w:color="auto"/>
            <w:right w:val="none" w:sz="0" w:space="0" w:color="auto"/>
          </w:divBdr>
        </w:div>
      </w:divsChild>
    </w:div>
    <w:div w:id="502092037">
      <w:bodyDiv w:val="1"/>
      <w:marLeft w:val="0"/>
      <w:marRight w:val="0"/>
      <w:marTop w:val="0"/>
      <w:marBottom w:val="0"/>
      <w:divBdr>
        <w:top w:val="none" w:sz="0" w:space="0" w:color="auto"/>
        <w:left w:val="none" w:sz="0" w:space="0" w:color="auto"/>
        <w:bottom w:val="none" w:sz="0" w:space="0" w:color="auto"/>
        <w:right w:val="none" w:sz="0" w:space="0" w:color="auto"/>
      </w:divBdr>
      <w:divsChild>
        <w:div w:id="101070614">
          <w:marLeft w:val="0"/>
          <w:marRight w:val="0"/>
          <w:marTop w:val="0"/>
          <w:marBottom w:val="0"/>
          <w:divBdr>
            <w:top w:val="none" w:sz="0" w:space="0" w:color="auto"/>
            <w:left w:val="none" w:sz="0" w:space="0" w:color="auto"/>
            <w:bottom w:val="none" w:sz="0" w:space="0" w:color="auto"/>
            <w:right w:val="none" w:sz="0" w:space="0" w:color="auto"/>
          </w:divBdr>
        </w:div>
        <w:div w:id="321742515">
          <w:marLeft w:val="0"/>
          <w:marRight w:val="0"/>
          <w:marTop w:val="0"/>
          <w:marBottom w:val="0"/>
          <w:divBdr>
            <w:top w:val="none" w:sz="0" w:space="0" w:color="auto"/>
            <w:left w:val="none" w:sz="0" w:space="0" w:color="auto"/>
            <w:bottom w:val="none" w:sz="0" w:space="0" w:color="auto"/>
            <w:right w:val="none" w:sz="0" w:space="0" w:color="auto"/>
          </w:divBdr>
        </w:div>
        <w:div w:id="965088498">
          <w:marLeft w:val="0"/>
          <w:marRight w:val="0"/>
          <w:marTop w:val="0"/>
          <w:marBottom w:val="0"/>
          <w:divBdr>
            <w:top w:val="none" w:sz="0" w:space="0" w:color="auto"/>
            <w:left w:val="none" w:sz="0" w:space="0" w:color="auto"/>
            <w:bottom w:val="none" w:sz="0" w:space="0" w:color="auto"/>
            <w:right w:val="none" w:sz="0" w:space="0" w:color="auto"/>
          </w:divBdr>
        </w:div>
        <w:div w:id="1666517880">
          <w:marLeft w:val="0"/>
          <w:marRight w:val="0"/>
          <w:marTop w:val="0"/>
          <w:marBottom w:val="0"/>
          <w:divBdr>
            <w:top w:val="none" w:sz="0" w:space="0" w:color="auto"/>
            <w:left w:val="none" w:sz="0" w:space="0" w:color="auto"/>
            <w:bottom w:val="none" w:sz="0" w:space="0" w:color="auto"/>
            <w:right w:val="none" w:sz="0" w:space="0" w:color="auto"/>
          </w:divBdr>
        </w:div>
        <w:div w:id="2141919818">
          <w:marLeft w:val="0"/>
          <w:marRight w:val="0"/>
          <w:marTop w:val="0"/>
          <w:marBottom w:val="0"/>
          <w:divBdr>
            <w:top w:val="none" w:sz="0" w:space="0" w:color="auto"/>
            <w:left w:val="none" w:sz="0" w:space="0" w:color="auto"/>
            <w:bottom w:val="none" w:sz="0" w:space="0" w:color="auto"/>
            <w:right w:val="none" w:sz="0" w:space="0" w:color="auto"/>
          </w:divBdr>
        </w:div>
      </w:divsChild>
    </w:div>
    <w:div w:id="1835147514">
      <w:bodyDiv w:val="1"/>
      <w:marLeft w:val="0"/>
      <w:marRight w:val="0"/>
      <w:marTop w:val="0"/>
      <w:marBottom w:val="0"/>
      <w:divBdr>
        <w:top w:val="none" w:sz="0" w:space="0" w:color="auto"/>
        <w:left w:val="none" w:sz="0" w:space="0" w:color="auto"/>
        <w:bottom w:val="none" w:sz="0" w:space="0" w:color="auto"/>
        <w:right w:val="none" w:sz="0" w:space="0" w:color="auto"/>
      </w:divBdr>
      <w:divsChild>
        <w:div w:id="1093671727">
          <w:marLeft w:val="0"/>
          <w:marRight w:val="0"/>
          <w:marTop w:val="0"/>
          <w:marBottom w:val="0"/>
          <w:divBdr>
            <w:top w:val="none" w:sz="0" w:space="0" w:color="auto"/>
            <w:left w:val="none" w:sz="0" w:space="0" w:color="auto"/>
            <w:bottom w:val="none" w:sz="0" w:space="0" w:color="auto"/>
            <w:right w:val="none" w:sz="0" w:space="0" w:color="auto"/>
          </w:divBdr>
        </w:div>
        <w:div w:id="1109008559">
          <w:marLeft w:val="0"/>
          <w:marRight w:val="0"/>
          <w:marTop w:val="0"/>
          <w:marBottom w:val="0"/>
          <w:divBdr>
            <w:top w:val="none" w:sz="0" w:space="0" w:color="auto"/>
            <w:left w:val="none" w:sz="0" w:space="0" w:color="auto"/>
            <w:bottom w:val="none" w:sz="0" w:space="0" w:color="auto"/>
            <w:right w:val="none" w:sz="0" w:space="0" w:color="auto"/>
          </w:divBdr>
        </w:div>
        <w:div w:id="1129131390">
          <w:marLeft w:val="0"/>
          <w:marRight w:val="0"/>
          <w:marTop w:val="0"/>
          <w:marBottom w:val="0"/>
          <w:divBdr>
            <w:top w:val="none" w:sz="0" w:space="0" w:color="auto"/>
            <w:left w:val="none" w:sz="0" w:space="0" w:color="auto"/>
            <w:bottom w:val="none" w:sz="0" w:space="0" w:color="auto"/>
            <w:right w:val="none" w:sz="0" w:space="0" w:color="auto"/>
          </w:divBdr>
        </w:div>
        <w:div w:id="1679964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c1c78b2-a7e4-4ea6-b184-1097a538d1f6">
      <UserInfo>
        <DisplayName>Kelly Rickards</DisplayName>
        <AccountId>78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4586256615044E86F3EC634CF963F3" ma:contentTypeVersion="10" ma:contentTypeDescription="Create a new document." ma:contentTypeScope="" ma:versionID="6cd3723e408ea3b96ee6c6ade74f040e">
  <xsd:schema xmlns:xsd="http://www.w3.org/2001/XMLSchema" xmlns:xs="http://www.w3.org/2001/XMLSchema" xmlns:p="http://schemas.microsoft.com/office/2006/metadata/properties" xmlns:ns2="4a6f736d-11da-49b4-88c5-d0e80f1cb59a" xmlns:ns3="5c1c78b2-a7e4-4ea6-b184-1097a538d1f6" targetNamespace="http://schemas.microsoft.com/office/2006/metadata/properties" ma:root="true" ma:fieldsID="c24a402dcf69d7cacc14080ab502a6ee" ns2:_="" ns3:_="">
    <xsd:import namespace="4a6f736d-11da-49b4-88c5-d0e80f1cb59a"/>
    <xsd:import namespace="5c1c78b2-a7e4-4ea6-b184-1097a538d1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f736d-11da-49b4-88c5-d0e80f1cb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1c78b2-a7e4-4ea6-b184-1097a538d1f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F2221-0C8E-4B81-A641-AD32EC9B4AA7}">
  <ds:schemaRefs>
    <ds:schemaRef ds:uri="http://schemas.microsoft.com/office/2006/metadata/properties"/>
    <ds:schemaRef ds:uri="http://schemas.microsoft.com/office/infopath/2007/PartnerControls"/>
    <ds:schemaRef ds:uri="5c1c78b2-a7e4-4ea6-b184-1097a538d1f6"/>
  </ds:schemaRefs>
</ds:datastoreItem>
</file>

<file path=customXml/itemProps2.xml><?xml version="1.0" encoding="utf-8"?>
<ds:datastoreItem xmlns:ds="http://schemas.openxmlformats.org/officeDocument/2006/customXml" ds:itemID="{EFE05D4A-E8AF-496B-A3B7-43B08A2FA130}">
  <ds:schemaRefs>
    <ds:schemaRef ds:uri="http://schemas.openxmlformats.org/officeDocument/2006/bibliography"/>
  </ds:schemaRefs>
</ds:datastoreItem>
</file>

<file path=customXml/itemProps3.xml><?xml version="1.0" encoding="utf-8"?>
<ds:datastoreItem xmlns:ds="http://schemas.openxmlformats.org/officeDocument/2006/customXml" ds:itemID="{4671A514-3A50-4A2A-971F-A5FA6E79F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f736d-11da-49b4-88c5-d0e80f1cb59a"/>
    <ds:schemaRef ds:uri="5c1c78b2-a7e4-4ea6-b184-1097a538d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F1DE8B-80DB-4FD3-98BF-9FBCDA802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Julian</dc:creator>
  <cp:keywords/>
  <dc:description/>
  <cp:lastModifiedBy>Nicole Fitzgerald</cp:lastModifiedBy>
  <cp:revision>2</cp:revision>
  <dcterms:created xsi:type="dcterms:W3CDTF">2026-04-13T14:46:00Z</dcterms:created>
  <dcterms:modified xsi:type="dcterms:W3CDTF">2026-04-13T14:46:00Z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0x0101004F4586256615044E86F3EC634CF963F3</vt:lpwstr>
  </property>
</Properties>
</file>